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EB2D53" w:rsidRPr="00261BD6" w14:paraId="61C32317" w14:textId="77777777" w:rsidTr="00EB2D53">
        <w:trPr>
          <w:cantSplit/>
          <w:trHeight w:val="629"/>
          <w:jc w:val="center"/>
        </w:trPr>
        <w:tc>
          <w:tcPr>
            <w:tcW w:w="5000" w:type="pct"/>
            <w:vAlign w:val="center"/>
          </w:tcPr>
          <w:p w14:paraId="5FE7FC33" w14:textId="4A6892A2" w:rsidR="00DA6C26" w:rsidRPr="00005336" w:rsidRDefault="006B20A6" w:rsidP="004F5729">
            <w:pPr>
              <w:spacing w:before="120" w:after="20"/>
              <w:jc w:val="center"/>
              <w:rPr>
                <w:bCs/>
                <w:caps/>
                <w:color w:val="000000" w:themeColor="text1"/>
                <w:lang w:val="sr-Cyrl-RS"/>
              </w:rPr>
            </w:pPr>
            <w:r w:rsidRPr="00005336">
              <w:rPr>
                <w:bCs/>
                <w:caps/>
                <w:color w:val="000000" w:themeColor="text1"/>
                <w:lang w:val="ru-RU"/>
              </w:rPr>
              <w:t xml:space="preserve">ЗАШТИТА ОД </w:t>
            </w:r>
            <w:r w:rsidR="00D04A1E" w:rsidRPr="00005336">
              <w:rPr>
                <w:bCs/>
                <w:caps/>
                <w:color w:val="000000" w:themeColor="text1"/>
                <w:lang w:val="ru-RU"/>
              </w:rPr>
              <w:t>ВЕЛИК</w:t>
            </w:r>
            <w:r w:rsidR="001D4A00">
              <w:rPr>
                <w:bCs/>
                <w:caps/>
                <w:color w:val="000000" w:themeColor="text1"/>
                <w:lang w:val="ru-RU"/>
              </w:rPr>
              <w:t>их</w:t>
            </w:r>
            <w:r w:rsidRPr="00005336">
              <w:rPr>
                <w:bCs/>
                <w:caps/>
                <w:color w:val="000000" w:themeColor="text1"/>
                <w:lang w:val="sr-Cyrl-RS"/>
              </w:rPr>
              <w:t xml:space="preserve"> удеса </w:t>
            </w:r>
            <w:r w:rsidR="001D4A00">
              <w:rPr>
                <w:bCs/>
                <w:caps/>
                <w:color w:val="000000" w:themeColor="text1"/>
                <w:lang w:val="sr-Cyrl-RS"/>
              </w:rPr>
              <w:t xml:space="preserve">који укључују опасне супстанце, </w:t>
            </w:r>
            <w:r w:rsidRPr="00005336">
              <w:rPr>
                <w:bCs/>
                <w:caps/>
                <w:color w:val="000000" w:themeColor="text1"/>
                <w:lang w:val="sr-Cyrl-RS"/>
              </w:rPr>
              <w:t>КОД севесо</w:t>
            </w:r>
            <w:r w:rsidR="00D04A1E" w:rsidRPr="00005336">
              <w:rPr>
                <w:bCs/>
                <w:caps/>
                <w:color w:val="000000" w:themeColor="text1"/>
                <w:lang w:val="sr-Cyrl-RS"/>
              </w:rPr>
              <w:t xml:space="preserve"> КОМПЛЕКСА</w:t>
            </w:r>
          </w:p>
        </w:tc>
      </w:tr>
    </w:tbl>
    <w:p w14:paraId="16261F25" w14:textId="77777777" w:rsidR="00DA6C26" w:rsidRPr="00005336" w:rsidRDefault="00DA6C26" w:rsidP="00DA6C26">
      <w:pPr>
        <w:jc w:val="center"/>
        <w:rPr>
          <w:bCs/>
          <w:color w:val="000000" w:themeColor="text1"/>
          <w:lang w:val="sr-Cyrl-RS"/>
        </w:rPr>
      </w:pPr>
    </w:p>
    <w:p w14:paraId="4F859699" w14:textId="111A2B25" w:rsidR="00DA6C26" w:rsidRPr="00005336" w:rsidRDefault="00DA6C26" w:rsidP="00DA6C26">
      <w:pPr>
        <w:jc w:val="center"/>
        <w:rPr>
          <w:bCs/>
          <w:i/>
          <w:noProof/>
          <w:color w:val="000000" w:themeColor="text1"/>
          <w:lang w:val="ru-RU"/>
        </w:rPr>
      </w:pPr>
      <w:r w:rsidRPr="00005336">
        <w:rPr>
          <w:bCs/>
          <w:color w:val="000000" w:themeColor="text1"/>
          <w:lang w:val="sr-Cyrl-RS"/>
        </w:rPr>
        <w:t>Контролна листа</w:t>
      </w:r>
      <w:r w:rsidRPr="00005336">
        <w:rPr>
          <w:bCs/>
          <w:color w:val="000000" w:themeColor="text1"/>
          <w:lang w:val="sr-Cyrl-CS"/>
        </w:rPr>
        <w:t xml:space="preserve">: </w:t>
      </w:r>
      <w:r w:rsidRPr="00005336">
        <w:rPr>
          <w:bCs/>
          <w:color w:val="000000" w:themeColor="text1"/>
          <w:lang w:val="ru-RU"/>
        </w:rPr>
        <w:t xml:space="preserve"> </w:t>
      </w:r>
      <w:r w:rsidR="00FE76B2" w:rsidRPr="003B33C7">
        <w:rPr>
          <w:b/>
          <w:i/>
          <w:color w:val="000000" w:themeColor="text1"/>
          <w:lang w:val="ru-RU"/>
        </w:rPr>
        <w:t>СПЕЦИФИЧНА</w:t>
      </w:r>
      <w:r w:rsidR="0014776D" w:rsidRPr="003B33C7">
        <w:rPr>
          <w:b/>
          <w:i/>
          <w:color w:val="000000" w:themeColor="text1"/>
          <w:lang w:val="ru-RU"/>
        </w:rPr>
        <w:t xml:space="preserve"> </w:t>
      </w:r>
      <w:r w:rsidRPr="003B33C7">
        <w:rPr>
          <w:b/>
          <w:i/>
          <w:noProof/>
          <w:color w:val="000000" w:themeColor="text1"/>
          <w:lang w:val="sr-Cyrl-CS"/>
        </w:rPr>
        <w:t>КОНТРОЛА</w:t>
      </w:r>
      <w:r w:rsidR="008B71D7" w:rsidRPr="003B33C7">
        <w:rPr>
          <w:b/>
          <w:i/>
          <w:noProof/>
          <w:color w:val="000000" w:themeColor="text1"/>
          <w:lang w:val="ru-RU"/>
        </w:rPr>
        <w:t xml:space="preserve"> </w:t>
      </w:r>
      <w:r w:rsidR="008B71D7" w:rsidRPr="003B33C7">
        <w:rPr>
          <w:b/>
          <w:i/>
          <w:noProof/>
          <w:color w:val="000000" w:themeColor="text1"/>
          <w:lang w:val="sr-Cyrl-RS"/>
        </w:rPr>
        <w:t>ПОСТУПАЊА</w:t>
      </w:r>
      <w:r w:rsidR="0014776D" w:rsidRPr="003B33C7">
        <w:rPr>
          <w:b/>
          <w:i/>
          <w:noProof/>
          <w:color w:val="000000" w:themeColor="text1"/>
          <w:lang w:val="sr-Cyrl-CS"/>
        </w:rPr>
        <w:t xml:space="preserve"> </w:t>
      </w:r>
      <w:r w:rsidRPr="003B33C7">
        <w:rPr>
          <w:b/>
          <w:i/>
          <w:noProof/>
          <w:color w:val="000000" w:themeColor="text1"/>
          <w:lang w:val="sr-Cyrl-CS"/>
        </w:rPr>
        <w:t xml:space="preserve">СЕВЕСО </w:t>
      </w:r>
      <w:r w:rsidR="00D04A1E" w:rsidRPr="003B33C7">
        <w:rPr>
          <w:b/>
          <w:i/>
          <w:noProof/>
          <w:color w:val="000000" w:themeColor="text1"/>
          <w:lang w:val="sr-Cyrl-CS"/>
        </w:rPr>
        <w:t>КОМПЛЕКСА</w:t>
      </w:r>
    </w:p>
    <w:p w14:paraId="583FD527" w14:textId="5F824E77" w:rsidR="00DA6C26" w:rsidRPr="00005336" w:rsidRDefault="00160816" w:rsidP="00160816">
      <w:pPr>
        <w:tabs>
          <w:tab w:val="left" w:pos="7716"/>
        </w:tabs>
        <w:ind w:right="360"/>
        <w:rPr>
          <w:bCs/>
          <w:smallCaps/>
          <w:noProof/>
          <w:color w:val="000000" w:themeColor="text1"/>
          <w:lang w:val="sr-Cyrl-CS"/>
        </w:rPr>
      </w:pPr>
      <w:r>
        <w:rPr>
          <w:bCs/>
          <w:smallCaps/>
          <w:noProof/>
          <w:color w:val="000000" w:themeColor="text1"/>
          <w:lang w:val="sr-Cyrl-CS"/>
        </w:rPr>
        <w:tab/>
      </w:r>
    </w:p>
    <w:p w14:paraId="5DE66CB1" w14:textId="44F397B3" w:rsidR="002E78AF" w:rsidRPr="00005336" w:rsidRDefault="00212F2B" w:rsidP="00212F2B">
      <w:pPr>
        <w:tabs>
          <w:tab w:val="left" w:pos="7005"/>
        </w:tabs>
        <w:ind w:right="360"/>
        <w:rPr>
          <w:bCs/>
          <w:smallCaps/>
          <w:noProof/>
          <w:color w:val="000000" w:themeColor="text1"/>
          <w:lang w:val="sr-Cyrl-CS"/>
        </w:rPr>
      </w:pPr>
      <w:r>
        <w:rPr>
          <w:bCs/>
          <w:smallCaps/>
          <w:noProof/>
          <w:color w:val="000000" w:themeColor="text1"/>
          <w:lang w:val="sr-Cyrl-CS"/>
        </w:rPr>
        <w:tab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05336" w:rsidRPr="00005336" w14:paraId="4D0DB53C" w14:textId="77777777" w:rsidTr="009C6BF1">
        <w:trPr>
          <w:trHeight w:val="277"/>
        </w:trPr>
        <w:tc>
          <w:tcPr>
            <w:tcW w:w="9923" w:type="dxa"/>
          </w:tcPr>
          <w:p w14:paraId="68D1A0AB" w14:textId="77777777" w:rsidR="002E78AF" w:rsidRPr="00005336" w:rsidRDefault="002E78AF" w:rsidP="004F5729">
            <w:pPr>
              <w:jc w:val="center"/>
              <w:rPr>
                <w:bCs/>
                <w:i/>
                <w:color w:val="000000" w:themeColor="text1"/>
                <w:lang w:val="sr-Cyrl-CS"/>
              </w:rPr>
            </w:pPr>
            <w:r w:rsidRPr="00005336">
              <w:rPr>
                <w:bCs/>
                <w:i/>
                <w:color w:val="000000" w:themeColor="text1"/>
                <w:lang w:val="sr-Cyrl-CS"/>
              </w:rPr>
              <w:t>ПРОПИСИ:</w:t>
            </w:r>
          </w:p>
        </w:tc>
      </w:tr>
      <w:tr w:rsidR="00005336" w:rsidRPr="00261BD6" w14:paraId="37D334D9" w14:textId="77777777" w:rsidTr="009C6BF1">
        <w:trPr>
          <w:trHeight w:val="555"/>
        </w:trPr>
        <w:tc>
          <w:tcPr>
            <w:tcW w:w="9923" w:type="dxa"/>
          </w:tcPr>
          <w:p w14:paraId="13DC9F2D" w14:textId="1086A0DB" w:rsidR="00D04A1E" w:rsidRPr="00005336" w:rsidRDefault="00D04A1E" w:rsidP="00D04A1E">
            <w:pPr>
              <w:spacing w:line="210" w:lineRule="atLeast"/>
              <w:jc w:val="both"/>
              <w:rPr>
                <w:bCs/>
                <w:color w:val="000000" w:themeColor="text1"/>
                <w:lang w:val="ru-RU"/>
              </w:rPr>
            </w:pP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ЗАКОН</w:t>
            </w:r>
            <w:r w:rsidRPr="00005336">
              <w:rPr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о контроли опасности од великих удеса који укључују опасне супстанце</w:t>
            </w:r>
            <w:r w:rsidRPr="00005336">
              <w:rPr>
                <w:bCs/>
                <w:color w:val="000000" w:themeColor="text1"/>
                <w:lang w:val="sr-Cyrl-RS"/>
              </w:rPr>
              <w:t xml:space="preserve"> </w:t>
            </w:r>
            <w:r w:rsidR="006F7286" w:rsidRPr="00005336">
              <w:rPr>
                <w:bCs/>
                <w:color w:val="000000" w:themeColor="text1"/>
                <w:lang w:val="sr-Cyrl-RS"/>
              </w:rPr>
              <w:t>(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>„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Службени гласник РС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>“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, број 94 од 28. новембра 2024.</w:t>
            </w:r>
            <w:r w:rsidR="006F7286" w:rsidRPr="00005336">
              <w:rPr>
                <w:rFonts w:eastAsia="Verdana"/>
                <w:bCs/>
                <w:color w:val="000000" w:themeColor="text1"/>
                <w:lang w:val="ru-RU"/>
              </w:rPr>
              <w:t>)</w:t>
            </w:r>
          </w:p>
          <w:p w14:paraId="15FD7737" w14:textId="2F2BAAF3" w:rsidR="004F5729" w:rsidRPr="00005336" w:rsidRDefault="004F5729" w:rsidP="004F5729">
            <w:pPr>
              <w:rPr>
                <w:bCs/>
                <w:iCs/>
                <w:color w:val="000000" w:themeColor="text1"/>
                <w:lang w:val="ru-RU" w:eastAsia="en-GB"/>
              </w:rPr>
            </w:pPr>
          </w:p>
        </w:tc>
      </w:tr>
    </w:tbl>
    <w:p w14:paraId="3D6935B0" w14:textId="77777777" w:rsidR="002E78AF" w:rsidRPr="00005336" w:rsidRDefault="002E78AF" w:rsidP="00DA6C26">
      <w:pPr>
        <w:ind w:right="360"/>
        <w:jc w:val="center"/>
        <w:rPr>
          <w:bCs/>
          <w:smallCaps/>
          <w:noProof/>
          <w:color w:val="000000" w:themeColor="text1"/>
          <w:lang w:val="sr-Cyrl-C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811"/>
      </w:tblGrid>
      <w:tr w:rsidR="00005336" w:rsidRPr="00005336" w14:paraId="02542FC5" w14:textId="77777777" w:rsidTr="009C6BF1">
        <w:trPr>
          <w:trHeight w:val="295"/>
        </w:trPr>
        <w:tc>
          <w:tcPr>
            <w:tcW w:w="9923" w:type="dxa"/>
            <w:gridSpan w:val="2"/>
            <w:shd w:val="clear" w:color="auto" w:fill="E7E6E6"/>
            <w:noWrap/>
            <w:vAlign w:val="bottom"/>
          </w:tcPr>
          <w:p w14:paraId="1A1A69A9" w14:textId="2FA84568" w:rsidR="002E78AF" w:rsidRPr="00005336" w:rsidRDefault="002E78AF" w:rsidP="004F5729">
            <w:pPr>
              <w:jc w:val="center"/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 xml:space="preserve">ИНФОРМАЦИЈЕ О </w:t>
            </w:r>
            <w:r w:rsidR="00D04A1E" w:rsidRPr="00005336">
              <w:rPr>
                <w:bCs/>
                <w:color w:val="000000" w:themeColor="text1"/>
                <w:lang w:val="sr-Cyrl-RS"/>
              </w:rPr>
              <w:t>КОМПЛЕКСУ</w:t>
            </w:r>
          </w:p>
        </w:tc>
      </w:tr>
      <w:tr w:rsidR="00005336" w:rsidRPr="00005336" w14:paraId="6C65B080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72B954F5" w14:textId="2FF187C3" w:rsidR="00040C38" w:rsidRPr="00005336" w:rsidRDefault="00040C38" w:rsidP="00040C38">
            <w:pPr>
              <w:rPr>
                <w:bCs/>
                <w:color w:val="000000" w:themeColor="text1"/>
                <w:lang w:val="sr-Latn-CS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Назив оператера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4AFD2448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005336" w14:paraId="3D4C770C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1431103F" w14:textId="5FF20E78" w:rsidR="00040C38" w:rsidRPr="00005336" w:rsidRDefault="00040C38" w:rsidP="00040C38">
            <w:pPr>
              <w:rPr>
                <w:bCs/>
                <w:color w:val="000000" w:themeColor="text1"/>
                <w:lang w:val="sr-Latn-C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>Назив</w:t>
            </w:r>
            <w:r w:rsidR="00D04A1E" w:rsidRPr="00005336">
              <w:rPr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bCs/>
                <w:color w:val="000000" w:themeColor="text1"/>
                <w:lang w:val="sr-Cyrl-RS"/>
              </w:rPr>
              <w:t>комплекса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3948EA2C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261BD6" w14:paraId="2BE2CF71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397FD1C4" w14:textId="6421E822" w:rsidR="00040C38" w:rsidRPr="00005336" w:rsidRDefault="00040C38" w:rsidP="00040C38">
            <w:pPr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 xml:space="preserve">Статус 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комплекса (виши/нижи ред):</w:t>
            </w:r>
          </w:p>
        </w:tc>
        <w:tc>
          <w:tcPr>
            <w:tcW w:w="5811" w:type="dxa"/>
            <w:noWrap/>
            <w:vAlign w:val="bottom"/>
          </w:tcPr>
          <w:p w14:paraId="779F0DD6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261BD6" w14:paraId="31C77862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373CEFE7" w14:textId="0467212A" w:rsidR="00F20E92" w:rsidRPr="00005336" w:rsidRDefault="00F20E92" w:rsidP="00F20E92">
            <w:pPr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>Адреса</w:t>
            </w:r>
            <w:r w:rsidRPr="00005336">
              <w:rPr>
                <w:bCs/>
                <w:color w:val="000000" w:themeColor="text1"/>
                <w:lang w:val="sr-Cyrl-RS"/>
              </w:rPr>
              <w:t xml:space="preserve"> комплекса</w:t>
            </w:r>
            <w:r w:rsidRPr="00005336">
              <w:rPr>
                <w:bCs/>
                <w:color w:val="000000" w:themeColor="text1"/>
                <w:lang w:val="sr-Latn-CS"/>
              </w:rPr>
              <w:t xml:space="preserve"> </w:t>
            </w:r>
            <w:r w:rsidRPr="00005336">
              <w:rPr>
                <w:bCs/>
                <w:color w:val="000000" w:themeColor="text1"/>
                <w:lang w:val="sr-Cyrl-RS"/>
              </w:rPr>
              <w:t>(улица и број):</w:t>
            </w:r>
          </w:p>
        </w:tc>
        <w:tc>
          <w:tcPr>
            <w:tcW w:w="5811" w:type="dxa"/>
            <w:noWrap/>
            <w:vAlign w:val="bottom"/>
          </w:tcPr>
          <w:p w14:paraId="37CC4031" w14:textId="77777777" w:rsidR="00F20E92" w:rsidRPr="00005336" w:rsidRDefault="00F20E92" w:rsidP="00F20E92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005336" w14:paraId="22DAC60E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4C62269C" w14:textId="5DFE26D6" w:rsidR="00040C38" w:rsidRPr="00005336" w:rsidRDefault="00040C38" w:rsidP="00040C38">
            <w:pPr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 xml:space="preserve">Општина </w:t>
            </w:r>
            <w:r w:rsidR="00A73A86" w:rsidRPr="00005336">
              <w:rPr>
                <w:bCs/>
                <w:color w:val="000000" w:themeColor="text1"/>
                <w:lang w:val="sr-Latn-CS"/>
              </w:rPr>
              <w:t>–</w:t>
            </w:r>
            <w:r w:rsidRPr="00005336">
              <w:rPr>
                <w:bCs/>
                <w:color w:val="000000" w:themeColor="text1"/>
                <w:lang w:val="sr-Latn-CS"/>
              </w:rPr>
              <w:t xml:space="preserve"> Град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6C7014CC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005336" w14:paraId="70AEC2F1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3DECC8F3" w14:textId="0D5887AB" w:rsidR="00040C38" w:rsidRPr="00005336" w:rsidRDefault="00040C38" w:rsidP="00040C38">
            <w:pPr>
              <w:rPr>
                <w:bCs/>
                <w:strike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>Матични број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3FE5DF27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005336" w14:paraId="35189A6E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7B798757" w14:textId="18596126" w:rsidR="00040C38" w:rsidRPr="00005336" w:rsidRDefault="00040C38" w:rsidP="00040C38">
            <w:pPr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 xml:space="preserve">Контакт особа </w:t>
            </w:r>
            <w:r w:rsidRPr="00005336">
              <w:rPr>
                <w:bCs/>
                <w:color w:val="000000" w:themeColor="text1"/>
                <w:lang w:val="sr-Cyrl-CS"/>
              </w:rPr>
              <w:t>у</w:t>
            </w:r>
            <w:r w:rsidRPr="00005336">
              <w:rPr>
                <w:bCs/>
                <w:color w:val="000000" w:themeColor="text1"/>
                <w:lang w:val="sr-Latn-CS"/>
              </w:rPr>
              <w:t xml:space="preserve"> 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комплексу:</w:t>
            </w:r>
          </w:p>
        </w:tc>
        <w:tc>
          <w:tcPr>
            <w:tcW w:w="5811" w:type="dxa"/>
            <w:noWrap/>
            <w:vAlign w:val="bottom"/>
          </w:tcPr>
          <w:p w14:paraId="004A151D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005336" w14:paraId="3486298B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0BE93DD7" w14:textId="37F0A0DC" w:rsidR="00040C38" w:rsidRPr="00005336" w:rsidRDefault="00040C38" w:rsidP="00040C38">
            <w:pPr>
              <w:rPr>
                <w:bCs/>
                <w:color w:val="000000" w:themeColor="text1"/>
                <w:lang w:val="sr-Latn-CS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Назив радног места</w:t>
            </w:r>
            <w:r w:rsidR="00A73A86"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0DF614BC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  <w:tr w:rsidR="00005336" w:rsidRPr="00261BD6" w14:paraId="6AE4BE14" w14:textId="77777777" w:rsidTr="00CB1232">
        <w:trPr>
          <w:trHeight w:val="295"/>
        </w:trPr>
        <w:tc>
          <w:tcPr>
            <w:tcW w:w="4112" w:type="dxa"/>
            <w:noWrap/>
            <w:vAlign w:val="bottom"/>
          </w:tcPr>
          <w:p w14:paraId="19F48AA5" w14:textId="2025AF0D" w:rsidR="00040C38" w:rsidRPr="00CB1232" w:rsidRDefault="00040C38" w:rsidP="00040C38">
            <w:pPr>
              <w:rPr>
                <w:bCs/>
                <w:color w:val="000000" w:themeColor="text1"/>
                <w:lang w:val="sr-Cyrl-RS"/>
              </w:rPr>
            </w:pPr>
            <w:r w:rsidRPr="00005336">
              <w:rPr>
                <w:bCs/>
                <w:color w:val="000000" w:themeColor="text1"/>
                <w:lang w:val="sr-Latn-CS"/>
              </w:rPr>
              <w:t xml:space="preserve">Телефон, </w:t>
            </w:r>
            <w:r w:rsidRPr="00005336">
              <w:rPr>
                <w:bCs/>
                <w:color w:val="000000" w:themeColor="text1"/>
                <w:lang w:val="sr-Cyrl-RS"/>
              </w:rPr>
              <w:t xml:space="preserve">Моб. Телефон </w:t>
            </w:r>
            <w:r w:rsidRPr="00005336">
              <w:rPr>
                <w:bCs/>
                <w:color w:val="000000" w:themeColor="text1"/>
                <w:lang w:val="sr-Latn-CS"/>
              </w:rPr>
              <w:t>Факс, E-mail</w:t>
            </w:r>
            <w:r w:rsidR="00CB1232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5811" w:type="dxa"/>
            <w:noWrap/>
            <w:vAlign w:val="bottom"/>
          </w:tcPr>
          <w:p w14:paraId="5577AAEA" w14:textId="77777777" w:rsidR="00040C38" w:rsidRPr="00005336" w:rsidRDefault="00040C38" w:rsidP="00040C38">
            <w:pPr>
              <w:jc w:val="both"/>
              <w:rPr>
                <w:bCs/>
                <w:color w:val="000000" w:themeColor="text1"/>
                <w:lang w:val="sr-Latn-CS"/>
              </w:rPr>
            </w:pPr>
          </w:p>
        </w:tc>
      </w:tr>
    </w:tbl>
    <w:p w14:paraId="2BBF9CF2" w14:textId="77777777" w:rsidR="004F7113" w:rsidRPr="00160816" w:rsidRDefault="004F7113" w:rsidP="00DA6C26">
      <w:pPr>
        <w:rPr>
          <w:bCs/>
          <w:color w:val="000000" w:themeColor="text1"/>
          <w:lang w:val="sr-Latn-RS"/>
        </w:rPr>
      </w:pPr>
    </w:p>
    <w:p w14:paraId="5528D4E0" w14:textId="77777777" w:rsidR="00DA6C26" w:rsidRPr="00005336" w:rsidRDefault="00DA6C26" w:rsidP="00DA6C26">
      <w:pPr>
        <w:rPr>
          <w:bCs/>
          <w:color w:val="000000" w:themeColor="text1"/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567"/>
        <w:gridCol w:w="567"/>
        <w:gridCol w:w="709"/>
        <w:gridCol w:w="708"/>
        <w:gridCol w:w="3402"/>
      </w:tblGrid>
      <w:tr w:rsidR="00005336" w:rsidRPr="00005336" w14:paraId="1D7EBC41" w14:textId="671069EA" w:rsidTr="00243045">
        <w:trPr>
          <w:cantSplit/>
          <w:trHeight w:val="424"/>
        </w:trPr>
        <w:tc>
          <w:tcPr>
            <w:tcW w:w="426" w:type="dxa"/>
            <w:shd w:val="clear" w:color="auto" w:fill="FFFFFF" w:themeFill="background1"/>
          </w:tcPr>
          <w:p w14:paraId="1A7B7151" w14:textId="77777777" w:rsidR="00F20E92" w:rsidRPr="00005336" w:rsidRDefault="00F20E92" w:rsidP="000D1CB2">
            <w:pPr>
              <w:shd w:val="clear" w:color="auto" w:fill="FFFFFF" w:themeFill="background1"/>
              <w:spacing w:before="100" w:after="100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970EFF" w14:textId="520D821B" w:rsidR="00F20E92" w:rsidRPr="00005336" w:rsidRDefault="00F20E92" w:rsidP="00913397">
            <w:pPr>
              <w:spacing w:line="210" w:lineRule="atLeast"/>
              <w:jc w:val="center"/>
              <w:rPr>
                <w:b/>
                <w:noProof/>
                <w:color w:val="000000" w:themeColor="text1"/>
                <w:lang w:val="sr-Cyrl-RS"/>
              </w:rPr>
            </w:pPr>
            <w:r w:rsidRPr="00005336">
              <w:rPr>
                <w:b/>
                <w:noProof/>
                <w:color w:val="000000" w:themeColor="text1"/>
                <w:lang w:val="sr-Cyrl-RS"/>
              </w:rPr>
              <w:t>Питања: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DFA04F" w14:textId="60141014" w:rsidR="00F20E92" w:rsidRPr="00005336" w:rsidRDefault="00F20E92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ru-RU"/>
              </w:rPr>
            </w:pPr>
            <w:r w:rsidRPr="00005336">
              <w:rPr>
                <w:b/>
                <w:color w:val="000000" w:themeColor="text1"/>
                <w:lang w:val="ru-RU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A4BDB" w14:textId="1ADEAE6D" w:rsidR="00F20E92" w:rsidRPr="00005336" w:rsidRDefault="00F20E92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ru-RU"/>
              </w:rPr>
            </w:pPr>
            <w:r w:rsidRPr="00005336">
              <w:rPr>
                <w:b/>
                <w:color w:val="000000" w:themeColor="text1"/>
                <w:lang w:val="ru-RU"/>
              </w:rPr>
              <w:t>не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B6E15C" w14:textId="6E2262B5" w:rsidR="00F20E92" w:rsidRPr="00005336" w:rsidRDefault="00F20E92" w:rsidP="00042F9F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lang w:val="sr-Cyrl-RS"/>
              </w:rPr>
            </w:pPr>
            <w:r w:rsidRPr="00005336">
              <w:rPr>
                <w:b/>
                <w:color w:val="000000" w:themeColor="text1"/>
                <w:lang w:val="sr-Cyrl-RS"/>
              </w:rPr>
              <w:t>дел</w:t>
            </w:r>
            <w:r w:rsidRPr="00005336">
              <w:rPr>
                <w:b/>
                <w:color w:val="000000" w:themeColor="text1"/>
                <w:vertAlign w:val="superscript"/>
                <w:lang w:val="sr-Cyrl-C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CCE407" w14:textId="08AE04E3" w:rsidR="00F20E92" w:rsidRPr="00005336" w:rsidRDefault="00F20E92" w:rsidP="00D23117">
            <w:pPr>
              <w:shd w:val="clear" w:color="auto" w:fill="FFFFFF" w:themeFill="background1"/>
              <w:spacing w:before="100" w:after="100"/>
              <w:rPr>
                <w:b/>
                <w:color w:val="000000" w:themeColor="text1"/>
                <w:vertAlign w:val="superscript"/>
                <w:lang w:val="en-GB"/>
              </w:rPr>
            </w:pPr>
            <w:r w:rsidRPr="00005336">
              <w:rPr>
                <w:b/>
                <w:color w:val="000000" w:themeColor="text1"/>
                <w:lang w:val="sr-Cyrl-CS"/>
              </w:rPr>
              <w:t>н/п</w:t>
            </w:r>
            <w:r w:rsidRPr="00005336">
              <w:rPr>
                <w:b/>
                <w:color w:val="000000" w:themeColor="text1"/>
                <w:vertAlign w:val="superscript"/>
                <w:lang w:val="en-GB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54C7B9" w14:textId="3353985C" w:rsidR="00F20E92" w:rsidRPr="00005336" w:rsidRDefault="00AA1DDF" w:rsidP="0085338D">
            <w:pPr>
              <w:shd w:val="clear" w:color="auto" w:fill="FFFFFF" w:themeFill="background1"/>
              <w:spacing w:before="100" w:after="100"/>
              <w:jc w:val="center"/>
              <w:rPr>
                <w:b/>
                <w:color w:val="000000" w:themeColor="text1"/>
                <w:vertAlign w:val="superscript"/>
                <w:lang w:val="sr-Cyrl-RS"/>
              </w:rPr>
            </w:pPr>
            <w:r w:rsidRPr="00005336">
              <w:rPr>
                <w:b/>
                <w:color w:val="000000" w:themeColor="text1"/>
                <w:lang w:val="sr-Cyrl-RS"/>
              </w:rPr>
              <w:t>НАПОМЕНА</w:t>
            </w:r>
            <w:r w:rsidRPr="00005336">
              <w:rPr>
                <w:b/>
                <w:color w:val="000000" w:themeColor="text1"/>
                <w:vertAlign w:val="superscript"/>
                <w:lang w:val="sr-Cyrl-RS"/>
              </w:rPr>
              <w:t>3</w:t>
            </w:r>
          </w:p>
        </w:tc>
      </w:tr>
      <w:tr w:rsidR="00005336" w:rsidRPr="00005336" w14:paraId="1204D1A8" w14:textId="77777777" w:rsidTr="00243045">
        <w:trPr>
          <w:cantSplit/>
          <w:trHeight w:val="424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14:paraId="33E92387" w14:textId="0EA48F42" w:rsidR="006F7286" w:rsidRPr="00005336" w:rsidRDefault="006F7286" w:rsidP="006F7286">
            <w:pPr>
              <w:spacing w:before="120" w:after="160" w:line="210" w:lineRule="atLeast"/>
              <w:jc w:val="center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/>
                <w:color w:val="000000" w:themeColor="text1"/>
              </w:rPr>
              <w:t>Услов за рад комплекса</w:t>
            </w:r>
          </w:p>
        </w:tc>
      </w:tr>
      <w:tr w:rsidR="00005336" w:rsidRPr="00005336" w14:paraId="776FC271" w14:textId="77777777" w:rsidTr="00243045">
        <w:trPr>
          <w:cantSplit/>
          <w:trHeight w:val="424"/>
        </w:trPr>
        <w:tc>
          <w:tcPr>
            <w:tcW w:w="426" w:type="dxa"/>
          </w:tcPr>
          <w:p w14:paraId="24721098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29FB4C77" w14:textId="459EBE8C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комплекс </w:t>
            </w:r>
            <w:r w:rsidRPr="00005336">
              <w:rPr>
                <w:rFonts w:eastAsia="Verdana"/>
                <w:b/>
                <w:bCs/>
                <w:color w:val="000000" w:themeColor="text1"/>
                <w:lang w:val="sr-Cyrl-RS"/>
              </w:rPr>
              <w:t>ради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на основу правоснажног решења </w:t>
            </w:r>
            <w:r w:rsidRPr="00005336">
              <w:rPr>
                <w:rFonts w:eastAsia="Verdana"/>
                <w:b/>
                <w:bCs/>
                <w:color w:val="000000" w:themeColor="text1"/>
                <w:lang w:val="ru-RU"/>
              </w:rPr>
              <w:t xml:space="preserve">о сагласности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из члана 24. овог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2C854224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46F34BBE" w14:textId="748D01AB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Члан 18. став 1. тачка 1)</w:t>
            </w:r>
          </w:p>
        </w:tc>
        <w:tc>
          <w:tcPr>
            <w:tcW w:w="567" w:type="dxa"/>
            <w:vAlign w:val="center"/>
          </w:tcPr>
          <w:p w14:paraId="12ED091F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EAD9E86" w14:textId="2A83A4DB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758410D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5A76719" w14:textId="2FC43AE2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1613BB8F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22B23FD" w14:textId="0E0F0D0E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72749D1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C108F0E" w14:textId="7EBB4E5F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124CE661" w14:textId="56221270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169A9ABC" w14:textId="77777777" w:rsidTr="00243045">
        <w:trPr>
          <w:cantSplit/>
          <w:trHeight w:val="2575"/>
        </w:trPr>
        <w:tc>
          <w:tcPr>
            <w:tcW w:w="426" w:type="dxa"/>
          </w:tcPr>
          <w:p w14:paraId="42A905DD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74187370" w14:textId="1A88058F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комплекс ради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на основу правоснажног решења </w:t>
            </w:r>
            <w:r w:rsidRPr="00005336">
              <w:rPr>
                <w:rFonts w:eastAsia="Verdana"/>
                <w:b/>
                <w:bCs/>
                <w:color w:val="000000" w:themeColor="text1"/>
                <w:lang w:val="ru-RU"/>
              </w:rPr>
              <w:t xml:space="preserve">о измени решења о сагласности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из члана 27. закона, ако је оператер преиспитао и ажурирао документа, у складу са чл. 25. и 26. овог закона, а није спроводио промене из члана 28. став 1. овог закона?</w:t>
            </w:r>
          </w:p>
          <w:p w14:paraId="6AEA9BE9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6952D782" w14:textId="0ECEDCEC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Члан 18. став 1. тачка 2)</w:t>
            </w:r>
          </w:p>
        </w:tc>
        <w:tc>
          <w:tcPr>
            <w:tcW w:w="567" w:type="dxa"/>
            <w:vAlign w:val="center"/>
          </w:tcPr>
          <w:p w14:paraId="72BA9C9A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A228978" w14:textId="7C16B72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E7D531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A008203" w14:textId="78E8B5C6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12925DC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0885028" w14:textId="14243DB0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4D5F4AB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877E8AC" w14:textId="5BC2877A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4B25D5AA" w14:textId="742A2A6D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ru-RU" w:eastAsia="sr-Latn-RS"/>
              </w:rPr>
            </w:pPr>
          </w:p>
        </w:tc>
      </w:tr>
      <w:tr w:rsidR="00005336" w:rsidRPr="00005336" w14:paraId="03DE9567" w14:textId="77777777" w:rsidTr="00243045">
        <w:trPr>
          <w:cantSplit/>
          <w:trHeight w:val="1675"/>
        </w:trPr>
        <w:tc>
          <w:tcPr>
            <w:tcW w:w="426" w:type="dxa"/>
          </w:tcPr>
          <w:p w14:paraId="4DE28070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2E0289B4" w14:textId="02CF124F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оператер комплекса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исходовао решење о сагласности пре спровођења промена на комплексу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32698EA4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05662BAC" w14:textId="0E8B08F4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2. закона)</w:t>
            </w:r>
          </w:p>
        </w:tc>
        <w:tc>
          <w:tcPr>
            <w:tcW w:w="567" w:type="dxa"/>
            <w:vAlign w:val="center"/>
          </w:tcPr>
          <w:p w14:paraId="50D43F37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BA616F0" w14:textId="798A106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40A3F6B7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DCACA87" w14:textId="6D3CA66A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4AC92BD7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7C898FA" w14:textId="22A3B059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7CB1069E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5A17315" w14:textId="2E57D5C2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1DC8B251" w14:textId="10AA8C57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1D6D4CD5" w14:textId="77777777" w:rsidTr="00243045">
        <w:trPr>
          <w:cantSplit/>
          <w:trHeight w:val="779"/>
        </w:trPr>
        <w:tc>
          <w:tcPr>
            <w:tcW w:w="426" w:type="dxa"/>
          </w:tcPr>
          <w:p w14:paraId="27BFF693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1F2997E9" w14:textId="57EBAD7D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оператер обуставио рад комплекса у року од 30 дана од дана добијања р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ешењ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а 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одбаци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вању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захтев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 издавање сагласности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или одбацивању захтева за издавње решења 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измени решења о сагласности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или доношења решења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 престанку важења сагласности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19B57D65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0A633102" w14:textId="1AAE54E1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3. закона)</w:t>
            </w:r>
          </w:p>
        </w:tc>
        <w:tc>
          <w:tcPr>
            <w:tcW w:w="567" w:type="dxa"/>
            <w:vAlign w:val="center"/>
          </w:tcPr>
          <w:p w14:paraId="7AB03EC7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A5BD7C5" w14:textId="56654730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668CFB0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0716354" w14:textId="7DF43ED8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1E1BCF3E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8FC614A" w14:textId="2BEA5138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573AA710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52D0A34" w14:textId="0027E2D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5BED612E" w14:textId="79D69914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4303F977" w14:textId="77777777" w:rsidTr="00243045">
        <w:trPr>
          <w:cantSplit/>
          <w:trHeight w:val="779"/>
        </w:trPr>
        <w:tc>
          <w:tcPr>
            <w:tcW w:w="426" w:type="dxa"/>
          </w:tcPr>
          <w:p w14:paraId="3B0FBDC2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031759BE" w14:textId="6CC8715D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оператер при обустави рада комплекса у случају добијања р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ешењ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одбаци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вању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захтев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 издавање сагласности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или одбацивању захтева за издавање решења 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измени решења о сагласности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или доношења решења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 престанку важења сагласности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, </w:t>
            </w:r>
            <w:r w:rsidRPr="00005336">
              <w:rPr>
                <w:rFonts w:eastAsia="Verdana"/>
                <w:b/>
                <w:bCs/>
                <w:color w:val="000000" w:themeColor="text1"/>
                <w:lang w:val="sr-Cyrl-RS"/>
              </w:rPr>
              <w:t>безбедно уклонио опасне супстанце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са локације комплекса у року од 60 дана од дана пријема тог решења?</w:t>
            </w:r>
          </w:p>
          <w:p w14:paraId="31DA78BC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65EF7D30" w14:textId="708856AD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4. закона)</w:t>
            </w:r>
          </w:p>
        </w:tc>
        <w:tc>
          <w:tcPr>
            <w:tcW w:w="567" w:type="dxa"/>
            <w:vAlign w:val="center"/>
          </w:tcPr>
          <w:p w14:paraId="1536E7CB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FA27FBE" w14:textId="7667105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AEBC224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80B65AF" w14:textId="7183C2F4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66DB0FC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8488CE4" w14:textId="7CF989A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0C23B520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251E802" w14:textId="50E8491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2B3E851F" w14:textId="38BB8C4D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4F14FB5B" w14:textId="77777777" w:rsidTr="00243045">
        <w:trPr>
          <w:cantSplit/>
          <w:trHeight w:val="779"/>
        </w:trPr>
        <w:tc>
          <w:tcPr>
            <w:tcW w:w="426" w:type="dxa"/>
          </w:tcPr>
          <w:p w14:paraId="6EFF3064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353E698E" w14:textId="144D75DF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оператер након добијања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решењ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забрани рад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комплекса или дела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од стране Министарства,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у складу са чланом 32.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закона, обустави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рад комплекса или оног дела комплекса коме је забрањен рад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36644A06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4EF04DA9" w14:textId="50C9E115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5. закона</w:t>
            </w:r>
            <w:r w:rsidR="00B72F7D" w:rsidRPr="00005336">
              <w:rPr>
                <w:rFonts w:eastAsia="Verdana"/>
                <w:color w:val="000000" w:themeColor="text1"/>
                <w:lang w:val="en-GB"/>
              </w:rPr>
              <w:t>)</w:t>
            </w:r>
          </w:p>
        </w:tc>
        <w:tc>
          <w:tcPr>
            <w:tcW w:w="567" w:type="dxa"/>
            <w:vAlign w:val="center"/>
          </w:tcPr>
          <w:p w14:paraId="7A48E798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3E0246F" w14:textId="59E9B62B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5FE648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8E2A092" w14:textId="3B62EE13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5D542BBD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936F0C2" w14:textId="011ECD8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15BF5BAF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BBF15B9" w14:textId="692CFF6C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2CB12C7B" w14:textId="0E023F84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53577C03" w14:textId="77777777" w:rsidTr="00243045">
        <w:trPr>
          <w:cantSplit/>
          <w:trHeight w:val="779"/>
        </w:trPr>
        <w:tc>
          <w:tcPr>
            <w:tcW w:w="426" w:type="dxa"/>
          </w:tcPr>
          <w:p w14:paraId="7010BABB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00343D9F" w14:textId="60B1EED3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оператер након добијања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решењ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забрани рад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комплекса или дела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од стране Министарства,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у складу са чланом 32.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закона, обуставу рада из претходног питања, спровео најкасније у року од 30 дана од дана пријема тог решења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6F2CB04F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4CD88BD9" w14:textId="6BCCD3B1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5. закона)</w:t>
            </w:r>
          </w:p>
        </w:tc>
        <w:tc>
          <w:tcPr>
            <w:tcW w:w="567" w:type="dxa"/>
            <w:vAlign w:val="center"/>
          </w:tcPr>
          <w:p w14:paraId="3AD16E1F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A79DDAC" w14:textId="0F7A6C0A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68F67C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039E129" w14:textId="268CA385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7C69EC92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77F94EB" w14:textId="06A59348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190FD68C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480EFF6" w14:textId="0FA684D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01827C20" w14:textId="2145B90A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171F13EA" w14:textId="77777777" w:rsidTr="00243045">
        <w:trPr>
          <w:cantSplit/>
          <w:trHeight w:val="779"/>
        </w:trPr>
        <w:tc>
          <w:tcPr>
            <w:tcW w:w="426" w:type="dxa"/>
          </w:tcPr>
          <w:p w14:paraId="6B68D0E6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137EEEE0" w14:textId="5BE3D88D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оператер у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случају обуставе рада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након добијања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решењ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забрани рад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а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комплекса или дела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од стране Министарства,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безбедно уклони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опасне супстанце са локације комплекса или оног дела комплекса ком је забрањен рад, у року од 60 дана од дана пријема тог решења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079EC9C4" w14:textId="77777777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sr-Cyrl-RS"/>
              </w:rPr>
            </w:pPr>
          </w:p>
          <w:p w14:paraId="762CADFA" w14:textId="77777777" w:rsidR="00F20E92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18. став 6. закона)</w:t>
            </w:r>
          </w:p>
          <w:p w14:paraId="2F22E717" w14:textId="009C0C28" w:rsidR="004F7113" w:rsidRPr="004F7113" w:rsidRDefault="004F7113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E4FB613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908279B" w14:textId="5308E559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7535749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8E465BC" w14:textId="734837B9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348EBADB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D1FC3DF" w14:textId="62A326C4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28132AC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6AA3579" w14:textId="025D24FC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7AD25FB6" w14:textId="0AD86737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02312484" w14:textId="77777777" w:rsidTr="00243045">
        <w:trPr>
          <w:cantSplit/>
          <w:trHeight w:val="637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14:paraId="60EAA965" w14:textId="6FBD1A70" w:rsidR="00F20E92" w:rsidRPr="00005336" w:rsidRDefault="00F20E92" w:rsidP="00F20E92">
            <w:pPr>
              <w:spacing w:before="120" w:after="160" w:line="210" w:lineRule="atLeast"/>
              <w:jc w:val="center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/>
                <w:color w:val="000000" w:themeColor="text1"/>
              </w:rPr>
              <w:t>Промене на комплексу</w:t>
            </w:r>
          </w:p>
        </w:tc>
      </w:tr>
      <w:tr w:rsidR="00005336" w:rsidRPr="00005336" w14:paraId="4DA9355A" w14:textId="77777777" w:rsidTr="00243045">
        <w:trPr>
          <w:cantSplit/>
          <w:trHeight w:val="637"/>
        </w:trPr>
        <w:tc>
          <w:tcPr>
            <w:tcW w:w="426" w:type="dxa"/>
          </w:tcPr>
          <w:p w14:paraId="6584DAB2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EE0C381" w14:textId="6F574DB1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Оператер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унапред достави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Министарству информације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 трајном престанку рада комплекса или демонтажи комплекса, у форми Обавештења из члана 12. овог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48291647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34C6C8D7" w14:textId="2BE2312D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28. став 2. и 3)</w:t>
            </w:r>
          </w:p>
        </w:tc>
        <w:tc>
          <w:tcPr>
            <w:tcW w:w="567" w:type="dxa"/>
            <w:vAlign w:val="center"/>
          </w:tcPr>
          <w:p w14:paraId="56214FE3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913A258" w14:textId="570296B3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95C25B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147D354" w14:textId="7F1F013E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637F90B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B82EA54" w14:textId="2FDFE3F2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3B38937B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8643D75" w14:textId="047EA3F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78967A08" w14:textId="2AFC4D66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710C2D98" w14:textId="77777777" w:rsidTr="00243045">
        <w:trPr>
          <w:cantSplit/>
          <w:trHeight w:val="637"/>
        </w:trPr>
        <w:tc>
          <w:tcPr>
            <w:tcW w:w="426" w:type="dxa"/>
          </w:tcPr>
          <w:p w14:paraId="60372546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620DFB4C" w14:textId="6C552F8A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Оператер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унапред достави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Министарству информације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 свакој измени информација из члана 12. став 1. тачка 1) овог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,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у форми Обавештења из члана 12. овог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4D6E6FAB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3E9DD935" w14:textId="1F855933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28. став 2. и 3)</w:t>
            </w:r>
          </w:p>
        </w:tc>
        <w:tc>
          <w:tcPr>
            <w:tcW w:w="567" w:type="dxa"/>
            <w:vAlign w:val="center"/>
          </w:tcPr>
          <w:p w14:paraId="56396377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8A28A83" w14:textId="72A9AA90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72014A7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EA8AFA4" w14:textId="36920C99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1BFA15F0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866D735" w14:textId="64284F2F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7972A45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C5AE1AC" w14:textId="3E17E836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35906006" w14:textId="2C32002C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608CE1F9" w14:textId="77777777" w:rsidTr="00243045">
        <w:trPr>
          <w:cantSplit/>
          <w:trHeight w:val="637"/>
        </w:trPr>
        <w:tc>
          <w:tcPr>
            <w:tcW w:w="426" w:type="dxa"/>
          </w:tcPr>
          <w:p w14:paraId="352F1123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24C12EBA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Ако оператер комплекса</w:t>
            </w:r>
          </w:p>
          <w:p w14:paraId="4B46E2C6" w14:textId="1DB6A6D9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има намеру да смањи капацитет за производњу, промет и складиштење опасних супстанци, или измени попис опасних супстанци на комплексу, тако да не испуњава услове за даљу примену овог закона и чиме престаје да буде комплекс,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је о наведеном доставио министарству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Обавештење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које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мора да садржи и податке о планираним мерама за безбедну измену рада комплекса укључујући и рокове за спровођење истих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79769713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612346D5" w14:textId="77777777" w:rsidR="004F7113" w:rsidRDefault="00F20E92" w:rsidP="004F7113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28. став 1, 2, 3 и 4.)</w:t>
            </w:r>
          </w:p>
          <w:p w14:paraId="69B14208" w14:textId="4B1C3EB4" w:rsidR="004F7113" w:rsidRPr="004F7113" w:rsidRDefault="004F7113" w:rsidP="004F7113">
            <w:pPr>
              <w:spacing w:line="210" w:lineRule="atLeast"/>
              <w:rPr>
                <w:rFonts w:eastAsia="Verdana"/>
                <w:b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F20AAAB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03F1056" w14:textId="33403E82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42AAD9A4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1E628E82" w14:textId="2F6C4F4E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692B3E4C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601CDD8" w14:textId="3B01D71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50A50291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E42AF49" w14:textId="6560488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6F4B58DC" w14:textId="153D61B7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261BD6" w14:paraId="030DD33F" w14:textId="77777777" w:rsidTr="00243045">
        <w:trPr>
          <w:cantSplit/>
          <w:trHeight w:val="637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14:paraId="012B2B99" w14:textId="5ECF2070" w:rsidR="004F7113" w:rsidRPr="00261BD6" w:rsidRDefault="00F20E92" w:rsidP="004F7113">
            <w:pPr>
              <w:spacing w:before="120" w:after="160" w:line="210" w:lineRule="atLeast"/>
              <w:jc w:val="center"/>
              <w:rPr>
                <w:rFonts w:eastAsia="Verdana"/>
                <w:b/>
                <w:color w:val="000000" w:themeColor="text1"/>
                <w:lang w:val="ru-RU"/>
              </w:rPr>
            </w:pPr>
            <w:r w:rsidRPr="00005336">
              <w:rPr>
                <w:rFonts w:eastAsia="Verdana"/>
                <w:b/>
                <w:color w:val="000000" w:themeColor="text1"/>
                <w:lang w:val="ru-RU"/>
              </w:rPr>
              <w:t>Давање у закуп комплекса или дела комплекса</w:t>
            </w:r>
          </w:p>
        </w:tc>
      </w:tr>
      <w:tr w:rsidR="00005336" w:rsidRPr="00005336" w14:paraId="02BC84B6" w14:textId="77777777" w:rsidTr="00243045">
        <w:trPr>
          <w:cantSplit/>
          <w:trHeight w:val="637"/>
        </w:trPr>
        <w:tc>
          <w:tcPr>
            <w:tcW w:w="426" w:type="dxa"/>
          </w:tcPr>
          <w:p w14:paraId="01C73A8D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3C68346F" w14:textId="1B0DADEE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оператер који је комплекс или део комплекса дао у закуп другом правном лицу или предузетнику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доставио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Министарству и надлежној инспекцији Обавештење о насталој промени у року од 15 дана од настанка те промене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7CAAE6AD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531DE3A0" w14:textId="1413410F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29. став 1.)</w:t>
            </w:r>
          </w:p>
        </w:tc>
        <w:tc>
          <w:tcPr>
            <w:tcW w:w="567" w:type="dxa"/>
            <w:vAlign w:val="center"/>
          </w:tcPr>
          <w:p w14:paraId="31FAD92E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CB25801" w14:textId="7F6A7640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2476C76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0E6F7E8" w14:textId="7918C46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4633A5F1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7C13514" w14:textId="4671F893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1D59FA11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A1E2A24" w14:textId="1FDB2FC6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624373CE" w14:textId="74A513D9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1497B63F" w14:textId="77777777" w:rsidTr="00243045">
        <w:trPr>
          <w:cantSplit/>
          <w:trHeight w:val="637"/>
        </w:trPr>
        <w:tc>
          <w:tcPr>
            <w:tcW w:w="426" w:type="dxa"/>
          </w:tcPr>
          <w:p w14:paraId="367EDB01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62BDC9B9" w14:textId="31A6450D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д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руго правно лице или предузетник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који је узео у закуп комплекс или део комплекса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у свему поступа у складу са усвојеном Политиком превенције великог удеса и Системом управљања безбедношћу оператера, и да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ли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обезбе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ђује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примену свих мера које је оператер предвидео у документима на које је добио сагласност Министарства из члана 24. закона, на комплексу или делу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44B4412B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3BA49220" w14:textId="41B39518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29. став 2.)</w:t>
            </w:r>
          </w:p>
        </w:tc>
        <w:tc>
          <w:tcPr>
            <w:tcW w:w="567" w:type="dxa"/>
            <w:vAlign w:val="center"/>
          </w:tcPr>
          <w:p w14:paraId="36C4915A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386AA85" w14:textId="2E08FC0B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29B9FD60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0488270" w14:textId="5F3A1B5F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53390100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8C0DF87" w14:textId="4CE82FA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0278B432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A4BF38A" w14:textId="6BA5A12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7ECAE97E" w14:textId="7BF7575A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36AAEDC9" w14:textId="77777777" w:rsidTr="00243045">
        <w:trPr>
          <w:cantSplit/>
          <w:trHeight w:val="637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14:paraId="7CD0A01C" w14:textId="294CD140" w:rsidR="00AA1DDF" w:rsidRPr="00005336" w:rsidRDefault="00AA1DDF" w:rsidP="00AA1DDF">
            <w:pPr>
              <w:spacing w:before="120" w:after="160" w:line="210" w:lineRule="atLeast"/>
              <w:jc w:val="center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/>
                <w:color w:val="000000" w:themeColor="text1"/>
              </w:rPr>
              <w:t>Стечај оператера комплекса</w:t>
            </w:r>
          </w:p>
        </w:tc>
      </w:tr>
      <w:tr w:rsidR="00005336" w:rsidRPr="00005336" w14:paraId="0F066CDC" w14:textId="77777777" w:rsidTr="00243045">
        <w:trPr>
          <w:cantSplit/>
          <w:trHeight w:val="637"/>
        </w:trPr>
        <w:tc>
          <w:tcPr>
            <w:tcW w:w="426" w:type="dxa"/>
          </w:tcPr>
          <w:p w14:paraId="2BECEBE3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4F6BBD3" w14:textId="38B52BE5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с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течајни управник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у року од 15 дана од преузимања дужности стечајног управника код оператера, за сваки комплекс у власништву оператера, достави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Министарству и надлежној инспекцији Обавештење о насталој промени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68906B3C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3B22373C" w14:textId="076ED7FC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30. став 2.)</w:t>
            </w:r>
          </w:p>
        </w:tc>
        <w:tc>
          <w:tcPr>
            <w:tcW w:w="567" w:type="dxa"/>
            <w:vAlign w:val="center"/>
          </w:tcPr>
          <w:p w14:paraId="4260835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AADD57C" w14:textId="0B9B5B34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2068F03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9E3C3F8" w14:textId="30A95DFA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6C870B45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1E1FDB3" w14:textId="13C852E6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07210CB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5CE987D" w14:textId="19F15CB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51BCD2CB" w14:textId="02B6AED5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</w:p>
        </w:tc>
      </w:tr>
      <w:tr w:rsidR="00005336" w:rsidRPr="00005336" w14:paraId="345D86A0" w14:textId="77777777" w:rsidTr="00243045">
        <w:trPr>
          <w:cantSplit/>
          <w:trHeight w:val="637"/>
        </w:trPr>
        <w:tc>
          <w:tcPr>
            <w:tcW w:w="426" w:type="dxa"/>
          </w:tcPr>
          <w:p w14:paraId="7A3FA18F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73D8952E" w14:textId="52B3D013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у случају стечаја оператера комплекса, стечајни управник (на кога су пренета сва права и обавезе оператера комплекса)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у потпуности поступа у складу са Политиком превенције великог удеса и Системом управљања безбедношћу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и да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ли 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обезбе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дио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примену свих мера које је оператер предвидео у документима на које је добио сагласност Министарства из члана 24. овог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56E00636" w14:textId="77777777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sr-Cyrl-RS"/>
              </w:rPr>
            </w:pPr>
          </w:p>
          <w:p w14:paraId="7625EDEC" w14:textId="216B9FD9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en-GB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30. став 1. и 3)</w:t>
            </w:r>
          </w:p>
        </w:tc>
        <w:tc>
          <w:tcPr>
            <w:tcW w:w="567" w:type="dxa"/>
            <w:vAlign w:val="center"/>
          </w:tcPr>
          <w:p w14:paraId="24C97B0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825640E" w14:textId="6081D40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6FAFB628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3D7C4786" w14:textId="42EBFD6A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7265A01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3D0C2BC" w14:textId="3FBBE20F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25DC206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ACB8514" w14:textId="08D41026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4CBD47DA" w14:textId="355DD29C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color w:val="000000" w:themeColor="text1"/>
                <w:lang w:val="sr-Cyrl-RS"/>
              </w:rPr>
            </w:pPr>
          </w:p>
        </w:tc>
      </w:tr>
      <w:tr w:rsidR="00005336" w:rsidRPr="00261BD6" w14:paraId="1012EF3E" w14:textId="77777777" w:rsidTr="00243045">
        <w:trPr>
          <w:cantSplit/>
          <w:trHeight w:val="637"/>
        </w:trPr>
        <w:tc>
          <w:tcPr>
            <w:tcW w:w="9923" w:type="dxa"/>
            <w:gridSpan w:val="7"/>
            <w:shd w:val="clear" w:color="auto" w:fill="F2F2F2" w:themeFill="background1" w:themeFillShade="F2"/>
          </w:tcPr>
          <w:p w14:paraId="1BE17DF7" w14:textId="1FDEBB31" w:rsidR="00AA1DDF" w:rsidRPr="00005336" w:rsidRDefault="00AA1DDF" w:rsidP="00AA1DDF">
            <w:pPr>
              <w:spacing w:before="120" w:after="160" w:line="210" w:lineRule="atLeast"/>
              <w:jc w:val="center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/>
                <w:color w:val="000000" w:themeColor="text1"/>
                <w:lang w:val="ru-RU"/>
              </w:rPr>
              <w:lastRenderedPageBreak/>
              <w:t>Трајни престанак рада комплекса и демонтажа комплекса</w:t>
            </w:r>
          </w:p>
        </w:tc>
      </w:tr>
      <w:tr w:rsidR="00005336" w:rsidRPr="00005336" w14:paraId="0FCA2EED" w14:textId="77777777" w:rsidTr="00243045">
        <w:trPr>
          <w:cantSplit/>
          <w:trHeight w:val="637"/>
        </w:trPr>
        <w:tc>
          <w:tcPr>
            <w:tcW w:w="426" w:type="dxa"/>
          </w:tcPr>
          <w:p w14:paraId="183BFCF9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757BF613" w14:textId="04D0AAEB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је 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ператер Министарству и надлежној инспекцији достави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Обавештење у складу са чланом 28. став 2. тачка 1) и став 3. овог закона о намери да трајно престане са радом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2F9C360F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5064A4FD" w14:textId="6CFB5990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31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1.)</w:t>
            </w:r>
          </w:p>
        </w:tc>
        <w:tc>
          <w:tcPr>
            <w:tcW w:w="567" w:type="dxa"/>
            <w:vAlign w:val="center"/>
          </w:tcPr>
          <w:p w14:paraId="4D56316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01A5128" w14:textId="7EB1E38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0972AB35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CA83DCD" w14:textId="0F1EB8CB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28A4017D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D57CC3E" w14:textId="36D9E5AA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604C68A6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5C436081" w14:textId="6E57837D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1FDA29FA" w14:textId="7821D49A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color w:val="000000" w:themeColor="text1"/>
                <w:lang w:val="sr-Cyrl-RS"/>
              </w:rPr>
            </w:pPr>
          </w:p>
        </w:tc>
      </w:tr>
      <w:tr w:rsidR="00005336" w:rsidRPr="004F6A32" w14:paraId="3B87CDDD" w14:textId="77777777" w:rsidTr="00243045">
        <w:trPr>
          <w:cantSplit/>
          <w:trHeight w:val="637"/>
        </w:trPr>
        <w:tc>
          <w:tcPr>
            <w:tcW w:w="426" w:type="dxa"/>
          </w:tcPr>
          <w:p w14:paraId="3AD91CFF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6F9CCF1C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Да ли 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ператер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планира безбедну демонтажу комплекса, укључујући и безбедно уклањање свих опасних супстанци са локације комплекса и да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ли је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предвид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ео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рок за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наведено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,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изузев у случају комплекса подземног складишта гаса и активних флотацијских јаловишта који садрже опасне супстанце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 </w:t>
            </w:r>
          </w:p>
          <w:p w14:paraId="0F3A9936" w14:textId="5439B2D7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члан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>3. став 2. тач. 1) и 4) закона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),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код којих се трајни престанак рада уређује у складу са посебним законом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)?</w:t>
            </w:r>
          </w:p>
          <w:p w14:paraId="56146DE1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363A34C2" w14:textId="01A7DE5B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(Ч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31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2.)</w:t>
            </w:r>
          </w:p>
        </w:tc>
        <w:tc>
          <w:tcPr>
            <w:tcW w:w="567" w:type="dxa"/>
            <w:vAlign w:val="center"/>
          </w:tcPr>
          <w:p w14:paraId="2E5C54C9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7206D34F" w14:textId="272D7EF5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176C51FA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0AE57FEE" w14:textId="3191968C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39495193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1697540" w14:textId="4CCB50A3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2EE16E0F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5C3DD08" w14:textId="1947FE0F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22478161" w14:textId="77777777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Ч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31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2.</w:t>
            </w:r>
          </w:p>
          <w:p w14:paraId="2603725F" w14:textId="2C3B3630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З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акона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о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контроли опасности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од великих удеса који укључују опасне супстанце</w:t>
            </w:r>
          </w:p>
        </w:tc>
      </w:tr>
      <w:tr w:rsidR="00005336" w:rsidRPr="004F6A32" w14:paraId="14B55CF5" w14:textId="77777777" w:rsidTr="00243045">
        <w:trPr>
          <w:cantSplit/>
          <w:trHeight w:val="637"/>
        </w:trPr>
        <w:tc>
          <w:tcPr>
            <w:tcW w:w="426" w:type="dxa"/>
          </w:tcPr>
          <w:p w14:paraId="32D309B9" w14:textId="77777777" w:rsidR="00F20E92" w:rsidRPr="00005336" w:rsidRDefault="00F20E92" w:rsidP="00F20E92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227B4A06" w14:textId="2F9D5B61" w:rsidR="00F20E92" w:rsidRPr="00005336" w:rsidRDefault="00F20E92" w:rsidP="00F20E92">
            <w:pPr>
              <w:spacing w:line="210" w:lineRule="atLeast"/>
              <w:rPr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Да ли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Обавештење 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 xml:space="preserve">о трајном престанку рада комплекса које је оператер доставио Министарству и надлежној инспекцији (члан 31. 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став 1.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)</w:t>
            </w:r>
            <w:r w:rsidRPr="00005336">
              <w:rPr>
                <w:rFonts w:eastAsia="Verdana"/>
                <w:color w:val="000000" w:themeColor="text1"/>
                <w:lang w:val="ru-RU"/>
              </w:rPr>
              <w:t xml:space="preserve"> садржи податке о мерама које оператер планира да изведе за безбедну обуставу рада, демонтажу комплекса и безбедно уклањање свих опасних супстанци са локације комплекса</w:t>
            </w:r>
            <w:r w:rsidRPr="00005336">
              <w:rPr>
                <w:rFonts w:eastAsia="Verdana"/>
                <w:color w:val="000000" w:themeColor="text1"/>
                <w:lang w:val="sr-Cyrl-RS"/>
              </w:rPr>
              <w:t>?</w:t>
            </w:r>
          </w:p>
          <w:p w14:paraId="6ED37A74" w14:textId="77777777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</w:p>
          <w:p w14:paraId="6528D1C0" w14:textId="7099AAE9" w:rsidR="00F20E92" w:rsidRPr="00005336" w:rsidRDefault="00F20E92" w:rsidP="00F20E92">
            <w:pPr>
              <w:spacing w:line="210" w:lineRule="atLeast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color w:val="000000" w:themeColor="text1"/>
                <w:lang w:val="sr-Cyrl-RS"/>
              </w:rPr>
              <w:t>(Члан 31. став 3.)</w:t>
            </w:r>
          </w:p>
        </w:tc>
        <w:tc>
          <w:tcPr>
            <w:tcW w:w="567" w:type="dxa"/>
            <w:vAlign w:val="center"/>
          </w:tcPr>
          <w:p w14:paraId="79EA394C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6A03A0E4" w14:textId="29A50D20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да </w:t>
            </w:r>
          </w:p>
        </w:tc>
        <w:tc>
          <w:tcPr>
            <w:tcW w:w="567" w:type="dxa"/>
            <w:vAlign w:val="center"/>
          </w:tcPr>
          <w:p w14:paraId="3BF5497C" w14:textId="77777777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8404B7B" w14:textId="4C10F11D" w:rsidR="00F20E92" w:rsidRPr="00005336" w:rsidRDefault="00F20E92" w:rsidP="00F20E92">
            <w:pPr>
              <w:autoSpaceDE w:val="0"/>
              <w:autoSpaceDN w:val="0"/>
              <w:adjustRightInd w:val="0"/>
              <w:ind w:left="34" w:hanging="34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не </w:t>
            </w:r>
          </w:p>
        </w:tc>
        <w:tc>
          <w:tcPr>
            <w:tcW w:w="709" w:type="dxa"/>
            <w:vAlign w:val="center"/>
          </w:tcPr>
          <w:p w14:paraId="40FEC1EC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459C82CD" w14:textId="0862532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t xml:space="preserve">дел </w:t>
            </w:r>
          </w:p>
        </w:tc>
        <w:tc>
          <w:tcPr>
            <w:tcW w:w="708" w:type="dxa"/>
            <w:vAlign w:val="center"/>
          </w:tcPr>
          <w:p w14:paraId="3F1CBF88" w14:textId="77777777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36">
              <w:rPr>
                <w:bCs/>
                <w:color w:val="000000" w:themeColor="text1"/>
              </w:rPr>
              <w:instrText xml:space="preserve"> FORMCHECKBOX </w:instrText>
            </w:r>
            <w:r w:rsidRPr="00005336">
              <w:rPr>
                <w:bCs/>
                <w:color w:val="000000" w:themeColor="text1"/>
              </w:rPr>
            </w:r>
            <w:r w:rsidRPr="00005336">
              <w:rPr>
                <w:bCs/>
                <w:color w:val="000000" w:themeColor="text1"/>
              </w:rPr>
              <w:fldChar w:fldCharType="separate"/>
            </w:r>
            <w:r w:rsidRPr="00005336">
              <w:rPr>
                <w:bCs/>
                <w:color w:val="000000" w:themeColor="text1"/>
              </w:rPr>
              <w:fldChar w:fldCharType="end"/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  <w:p w14:paraId="2052D980" w14:textId="4CEC9F5E" w:rsidR="00F20E92" w:rsidRPr="00005336" w:rsidRDefault="00F20E92" w:rsidP="00F20E92">
            <w:pPr>
              <w:pStyle w:val="NoSpacing"/>
              <w:rPr>
                <w:bCs/>
                <w:color w:val="000000" w:themeColor="text1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н/п</w:t>
            </w:r>
            <w:r w:rsidRPr="0000533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221D0DAE" w14:textId="77777777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bCs/>
                <w:color w:val="000000" w:themeColor="text1"/>
                <w:lang w:val="sr-Cyrl-RS" w:eastAsia="sr-Latn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Ч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 xml:space="preserve">лан 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>31</w:t>
            </w:r>
            <w:r w:rsidRPr="00005336">
              <w:rPr>
                <w:rFonts w:eastAsia="Verdana"/>
                <w:bCs/>
                <w:color w:val="000000" w:themeColor="text1"/>
                <w:lang w:val="sr-Latn-RS" w:eastAsia="sr-Latn-RS"/>
              </w:rPr>
              <w:t>.</w:t>
            </w:r>
            <w:r w:rsidRPr="00005336">
              <w:rPr>
                <w:rFonts w:eastAsia="Verdana"/>
                <w:bCs/>
                <w:color w:val="000000" w:themeColor="text1"/>
                <w:lang w:val="sr-Cyrl-RS" w:eastAsia="sr-Latn-RS"/>
              </w:rPr>
              <w:t xml:space="preserve"> став 3.</w:t>
            </w:r>
          </w:p>
          <w:p w14:paraId="256ED3FA" w14:textId="4FA2A261" w:rsidR="00F20E92" w:rsidRPr="00005336" w:rsidRDefault="00F20E92" w:rsidP="00F20E92">
            <w:pPr>
              <w:spacing w:after="160" w:line="210" w:lineRule="atLeast"/>
              <w:jc w:val="both"/>
              <w:rPr>
                <w:rFonts w:eastAsia="Verdana"/>
                <w:color w:val="000000" w:themeColor="text1"/>
                <w:lang w:val="sr-Cyrl-RS"/>
              </w:rPr>
            </w:pP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З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акона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о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контроли опасности</w:t>
            </w:r>
            <w:r w:rsidRPr="00005336">
              <w:rPr>
                <w:rFonts w:eastAsia="Verdana"/>
                <w:bCs/>
                <w:color w:val="000000" w:themeColor="text1"/>
                <w:lang w:val="sr-Cyrl-RS"/>
              </w:rPr>
              <w:t xml:space="preserve"> </w:t>
            </w:r>
            <w:r w:rsidRPr="00005336">
              <w:rPr>
                <w:rFonts w:eastAsia="Verdana"/>
                <w:bCs/>
                <w:color w:val="000000" w:themeColor="text1"/>
                <w:lang w:val="ru-RU"/>
              </w:rPr>
              <w:t>од великих удеса који укључују опасне супстанце</w:t>
            </w:r>
          </w:p>
        </w:tc>
      </w:tr>
    </w:tbl>
    <w:p w14:paraId="18FA59DD" w14:textId="2BEB8329" w:rsidR="00DA6C26" w:rsidRDefault="00DA6C26" w:rsidP="00696D73">
      <w:pPr>
        <w:rPr>
          <w:bCs/>
          <w:color w:val="000000" w:themeColor="text1"/>
          <w:lang w:val="sr-Latn-RS"/>
        </w:rPr>
      </w:pPr>
    </w:p>
    <w:p w14:paraId="08062A09" w14:textId="77777777" w:rsidR="00160816" w:rsidRDefault="00160816" w:rsidP="00696D73">
      <w:pPr>
        <w:rPr>
          <w:bCs/>
          <w:color w:val="000000" w:themeColor="text1"/>
          <w:lang w:val="sr-Latn-RS"/>
        </w:rPr>
      </w:pPr>
    </w:p>
    <w:p w14:paraId="325284AD" w14:textId="77777777" w:rsidR="00160816" w:rsidRPr="00160816" w:rsidRDefault="00160816" w:rsidP="00696D73">
      <w:pPr>
        <w:rPr>
          <w:bCs/>
          <w:color w:val="000000" w:themeColor="text1"/>
          <w:lang w:val="sr-Latn-RS"/>
        </w:rPr>
      </w:pPr>
    </w:p>
    <w:p w14:paraId="05137AEA" w14:textId="77777777" w:rsidR="00BB7C14" w:rsidRPr="00005336" w:rsidRDefault="00BB7C14" w:rsidP="00696D73">
      <w:pPr>
        <w:rPr>
          <w:bCs/>
          <w:color w:val="000000" w:themeColor="text1"/>
          <w:lang w:val="sr-Cyrl-RS"/>
        </w:rPr>
      </w:pP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161"/>
        <w:gridCol w:w="5995"/>
      </w:tblGrid>
      <w:tr w:rsidR="00005336" w:rsidRPr="004F6A32" w14:paraId="4367BC47" w14:textId="77777777" w:rsidTr="00021E13">
        <w:trPr>
          <w:trHeight w:val="267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629FB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/>
              </w:rPr>
              <w:t>Представници оператера: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572F4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Инспектори за заштиту животне средине</w:t>
            </w:r>
          </w:p>
        </w:tc>
      </w:tr>
      <w:tr w:rsidR="00005336" w:rsidRPr="00005336" w14:paraId="668C47AB" w14:textId="77777777" w:rsidTr="00021E13">
        <w:trPr>
          <w:trHeight w:val="26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E20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Име и презиме</w:t>
            </w:r>
            <w:r w:rsidRPr="00005336">
              <w:rPr>
                <w:bCs/>
                <w:color w:val="000000" w:themeColor="text1"/>
                <w:lang w:val="sr-Cyrl-RS"/>
              </w:rPr>
              <w:t>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C4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Радно место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8AA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Име и презиме</w:t>
            </w:r>
          </w:p>
        </w:tc>
      </w:tr>
      <w:tr w:rsidR="00005336" w:rsidRPr="00005336" w14:paraId="4EF58E82" w14:textId="77777777" w:rsidTr="00021E13">
        <w:trPr>
          <w:trHeight w:val="54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7E1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23D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sr-Cyrl-RS" w:eastAsia="de-DE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49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1.</w:t>
            </w:r>
          </w:p>
          <w:p w14:paraId="6D0E0C2A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</w:p>
        </w:tc>
      </w:tr>
      <w:tr w:rsidR="00005336" w:rsidRPr="00005336" w14:paraId="06362C17" w14:textId="77777777" w:rsidTr="00021E13">
        <w:trPr>
          <w:trHeight w:val="53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C1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 xml:space="preserve">2. </w:t>
            </w:r>
          </w:p>
          <w:p w14:paraId="7ECF28AB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12A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A4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2.</w:t>
            </w:r>
          </w:p>
        </w:tc>
      </w:tr>
      <w:tr w:rsidR="00005336" w:rsidRPr="00005336" w14:paraId="1EDCD864" w14:textId="77777777" w:rsidTr="00021E13">
        <w:trPr>
          <w:trHeight w:val="549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9D1" w14:textId="77777777" w:rsidR="00A16433" w:rsidRPr="00005336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en-GB" w:eastAsia="de-DE"/>
              </w:rPr>
            </w:pPr>
            <w:r w:rsidRPr="00005336">
              <w:rPr>
                <w:bCs/>
                <w:color w:val="000000" w:themeColor="text1"/>
                <w:lang w:val="en-GB" w:eastAsia="de-DE"/>
              </w:rPr>
              <w:t>3.</w:t>
            </w:r>
          </w:p>
          <w:p w14:paraId="6E3AF1A2" w14:textId="03E5E3E7" w:rsidR="00A16433" w:rsidRPr="00005336" w:rsidRDefault="00A16433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en-GB" w:eastAsia="de-DE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81B" w14:textId="77777777" w:rsidR="00A16433" w:rsidRPr="00005336" w:rsidRDefault="00A16433" w:rsidP="00696D7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eastAsia="de-DE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F25" w14:textId="46D8028E" w:rsidR="00A16433" w:rsidRPr="00005336" w:rsidRDefault="00AA1DDF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3.</w:t>
            </w:r>
          </w:p>
        </w:tc>
      </w:tr>
      <w:tr w:rsidR="00005336" w:rsidRPr="00005336" w14:paraId="6A2DF256" w14:textId="77777777" w:rsidTr="00021E13">
        <w:trPr>
          <w:trHeight w:val="534"/>
        </w:trPr>
        <w:tc>
          <w:tcPr>
            <w:tcW w:w="10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113F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  <w:r w:rsidRPr="00005336">
              <w:rPr>
                <w:bCs/>
                <w:color w:val="000000" w:themeColor="text1"/>
                <w:lang w:val="sr-Cyrl-RS" w:eastAsia="de-DE"/>
              </w:rPr>
              <w:t>Датум:</w:t>
            </w:r>
          </w:p>
          <w:p w14:paraId="4FFE4F1D" w14:textId="77777777" w:rsidR="00DA6C26" w:rsidRPr="00005336" w:rsidRDefault="00DA6C26" w:rsidP="00696D73">
            <w:pPr>
              <w:overflowPunct w:val="0"/>
              <w:autoSpaceDE w:val="0"/>
              <w:autoSpaceDN w:val="0"/>
              <w:adjustRightInd w:val="0"/>
              <w:rPr>
                <w:bCs/>
                <w:color w:val="000000" w:themeColor="text1"/>
                <w:lang w:val="sr-Cyrl-RS" w:eastAsia="de-DE"/>
              </w:rPr>
            </w:pPr>
          </w:p>
        </w:tc>
      </w:tr>
    </w:tbl>
    <w:p w14:paraId="7FB6AF2B" w14:textId="77777777" w:rsidR="00DA6C26" w:rsidRPr="00005336" w:rsidRDefault="00DA6C26" w:rsidP="00696D73">
      <w:pPr>
        <w:rPr>
          <w:bCs/>
          <w:color w:val="000000" w:themeColor="text1"/>
          <w:lang w:val="sr-Cyrl-RS"/>
        </w:rPr>
      </w:pPr>
    </w:p>
    <w:p w14:paraId="1E6B1456" w14:textId="77777777" w:rsidR="00DA6C26" w:rsidRPr="00005336" w:rsidRDefault="00DA6C26" w:rsidP="00696D73">
      <w:pPr>
        <w:rPr>
          <w:bCs/>
          <w:color w:val="000000" w:themeColor="text1"/>
          <w:lang w:val="sr-Cyrl-CS"/>
        </w:rPr>
      </w:pPr>
    </w:p>
    <w:p w14:paraId="0CF7E9B5" w14:textId="77777777" w:rsidR="00DA6C26" w:rsidRPr="00005336" w:rsidRDefault="00DA6C26" w:rsidP="00696D73">
      <w:pPr>
        <w:rPr>
          <w:bCs/>
          <w:color w:val="000000" w:themeColor="text1"/>
          <w:lang w:val="sr-Cyrl-RS"/>
        </w:rPr>
      </w:pPr>
    </w:p>
    <w:sectPr w:rsidR="00DA6C26" w:rsidRPr="00005336" w:rsidSect="00021E13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1C6D" w14:textId="77777777" w:rsidR="007F493D" w:rsidRDefault="007F493D">
      <w:r>
        <w:separator/>
      </w:r>
    </w:p>
  </w:endnote>
  <w:endnote w:type="continuationSeparator" w:id="0">
    <w:p w14:paraId="2F7D64F7" w14:textId="77777777" w:rsidR="007F493D" w:rsidRDefault="007F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A51" w14:textId="240F8D6C" w:rsidR="00987C5A" w:rsidRPr="007C3262" w:rsidRDefault="00987C5A" w:rsidP="004F5729">
    <w:pPr>
      <w:pStyle w:val="FootnoteText"/>
      <w:rPr>
        <w:lang w:val="ru-RU"/>
      </w:rPr>
    </w:pPr>
    <w:r>
      <w:rPr>
        <w:rStyle w:val="FootnoteReference"/>
      </w:rPr>
      <w:footnoteRef/>
    </w:r>
    <w:r>
      <w:rPr>
        <w:lang w:val="ru-RU"/>
      </w:rPr>
      <w:t xml:space="preserve"> </w:t>
    </w:r>
    <w:r w:rsidRPr="007C3262">
      <w:rPr>
        <w:lang w:val="ru-RU"/>
      </w:rPr>
      <w:t>Делимично</w:t>
    </w:r>
  </w:p>
  <w:p w14:paraId="03B11F76" w14:textId="272F5049" w:rsidR="00987C5A" w:rsidRPr="00863D8A" w:rsidRDefault="004B4E7F" w:rsidP="004F5729">
    <w:pPr>
      <w:pStyle w:val="FootnoteText"/>
      <w:rPr>
        <w:lang w:val="sr-Cyrl-RS"/>
      </w:rPr>
    </w:pPr>
    <w:r w:rsidRPr="007C3262">
      <w:rPr>
        <w:vertAlign w:val="superscript"/>
        <w:lang w:val="ru-RU"/>
      </w:rPr>
      <w:t>2</w:t>
    </w:r>
    <w:r w:rsidRPr="007C3262">
      <w:rPr>
        <w:lang w:val="ru-RU"/>
      </w:rPr>
      <w:t xml:space="preserve"> </w:t>
    </w:r>
    <w:r w:rsidR="00987C5A">
      <w:rPr>
        <w:lang w:val="sr-Cyrl-RS"/>
      </w:rPr>
      <w:t>Није примењиво</w:t>
    </w:r>
  </w:p>
  <w:p w14:paraId="0D04DDDC" w14:textId="77777777" w:rsidR="0058199B" w:rsidRPr="00730A9C" w:rsidRDefault="004B4E7F" w:rsidP="0058199B">
    <w:pPr>
      <w:pStyle w:val="FootnoteText"/>
      <w:rPr>
        <w:lang w:val="ru-RU"/>
      </w:rPr>
    </w:pPr>
    <w:r w:rsidRPr="007C3262">
      <w:rPr>
        <w:rStyle w:val="FootnoteReference"/>
        <w:lang w:val="ru-RU"/>
      </w:rPr>
      <w:t>3</w:t>
    </w:r>
    <w:r w:rsidR="00987C5A">
      <w:rPr>
        <w:lang w:val="ru-RU"/>
      </w:rPr>
      <w:t xml:space="preserve"> </w:t>
    </w:r>
    <w:r w:rsidR="0058199B">
      <w:rPr>
        <w:lang w:val="sr-Cyrl-RS"/>
      </w:rPr>
      <w:t>Потребно је за сваку тврдњу на постављено питање навести одговарајући доказ, образложење, нпр. навести број и датум документа и сл.</w:t>
    </w:r>
  </w:p>
  <w:p w14:paraId="2242CA70" w14:textId="17EE89AE" w:rsidR="00987C5A" w:rsidRPr="00296A5D" w:rsidRDefault="00987C5A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016977">
      <w:rPr>
        <w:noProof/>
        <w:sz w:val="20"/>
        <w:szCs w:val="20"/>
      </w:rPr>
      <w:t>8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B653" w14:textId="77777777" w:rsidR="007F493D" w:rsidRDefault="007F493D">
      <w:r>
        <w:separator/>
      </w:r>
    </w:p>
  </w:footnote>
  <w:footnote w:type="continuationSeparator" w:id="0">
    <w:p w14:paraId="109A575A" w14:textId="77777777" w:rsidR="007F493D" w:rsidRDefault="007F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12" w:type="dxa"/>
      <w:tblLook w:val="04A0" w:firstRow="1" w:lastRow="0" w:firstColumn="1" w:lastColumn="0" w:noHBand="0" w:noVBand="1"/>
    </w:tblPr>
    <w:tblGrid>
      <w:gridCol w:w="990"/>
      <w:gridCol w:w="6660"/>
      <w:gridCol w:w="2430"/>
    </w:tblGrid>
    <w:tr w:rsidR="00987C5A" w14:paraId="64DCF620" w14:textId="77777777" w:rsidTr="004F5729">
      <w:trPr>
        <w:trHeight w:val="719"/>
      </w:trPr>
      <w:tc>
        <w:tcPr>
          <w:tcW w:w="990" w:type="dxa"/>
          <w:vMerge w:val="restart"/>
        </w:tcPr>
        <w:p w14:paraId="7846318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9C7252" wp14:editId="1EDA86A9">
                <wp:extent cx="390525" cy="676275"/>
                <wp:effectExtent l="0" t="0" r="9525" b="9525"/>
                <wp:docPr id="1706282312" name="Picture 170628231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07F75C64" w14:textId="77777777" w:rsidR="00E60466" w:rsidRPr="00045608" w:rsidRDefault="00E60466" w:rsidP="00E60466">
          <w:pPr>
            <w:rPr>
              <w:b/>
              <w:sz w:val="22"/>
              <w:szCs w:val="22"/>
              <w:lang w:val="ru-RU"/>
            </w:rPr>
          </w:pPr>
          <w:r w:rsidRPr="0004560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37A00CF8" w14:textId="77777777" w:rsidR="00E60466" w:rsidRPr="00045608" w:rsidRDefault="00E60466" w:rsidP="00E60466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sr-Cyrl-RS"/>
            </w:rPr>
            <w:t>МИНИСТАРСТ</w:t>
          </w:r>
          <w:r w:rsidRPr="0004560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121E591E" w14:textId="77777777" w:rsidR="00E60466" w:rsidRPr="00045608" w:rsidRDefault="00E60466" w:rsidP="00E60466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ru-RU"/>
            </w:rPr>
            <w:t>Сектор за надзор и пре</w:t>
          </w:r>
          <w:r>
            <w:rPr>
              <w:sz w:val="22"/>
              <w:szCs w:val="22"/>
              <w:lang w:val="ru-RU"/>
            </w:rPr>
            <w:t>вентивно деловање</w:t>
          </w:r>
          <w:r w:rsidRPr="00045608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272B6B7D" w14:textId="38BBC9A5" w:rsidR="00261BD6" w:rsidRPr="00E60466" w:rsidRDefault="00E60466" w:rsidP="00E60466">
          <w:pPr>
            <w:rPr>
              <w:sz w:val="20"/>
              <w:szCs w:val="22"/>
              <w:lang w:val="sr-Latn-RS"/>
            </w:rPr>
          </w:pPr>
          <w:r w:rsidRPr="00045608">
            <w:rPr>
              <w:sz w:val="22"/>
              <w:szCs w:val="22"/>
              <w:lang w:val="sr-Cyrl-RS"/>
            </w:rPr>
            <w:t>Инспекција за заштиту животне средине</w:t>
          </w:r>
          <w:r w:rsidRPr="00F25AE7">
            <w:rPr>
              <w:b/>
              <w:lang w:val="ru-RU"/>
            </w:rPr>
            <w:t xml:space="preserve"> </w:t>
          </w:r>
        </w:p>
      </w:tc>
      <w:tc>
        <w:tcPr>
          <w:tcW w:w="2430" w:type="dxa"/>
          <w:vAlign w:val="center"/>
        </w:tcPr>
        <w:p w14:paraId="2A1D7D40" w14:textId="6C259C79" w:rsidR="00E60466" w:rsidRPr="00D13DBB" w:rsidRDefault="00E60466" w:rsidP="00E60466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AF6DE2">
            <w:rPr>
              <w:b/>
              <w:lang w:val="sr-Cyrl-CS"/>
            </w:rPr>
            <w:t>Шифра: КЛ-</w:t>
          </w:r>
          <w:r>
            <w:rPr>
              <w:b/>
              <w:lang w:val="sr-Latn-RS"/>
            </w:rPr>
            <w:t>12</w:t>
          </w:r>
          <w:r w:rsidRPr="00AF6DE2">
            <w:rPr>
              <w:b/>
              <w:lang w:val="sr-Cyrl-CS"/>
            </w:rPr>
            <w:t>-0</w:t>
          </w:r>
          <w:r w:rsidRPr="00AF6DE2">
            <w:rPr>
              <w:b/>
            </w:rPr>
            <w:t>1</w:t>
          </w:r>
          <w:r w:rsidRPr="00AF6DE2">
            <w:rPr>
              <w:b/>
              <w:lang w:val="sr-Cyrl-CS"/>
            </w:rPr>
            <w:t>/0</w:t>
          </w:r>
          <w:r>
            <w:rPr>
              <w:b/>
              <w:lang w:val="sr-Latn-RS"/>
            </w:rPr>
            <w:t>1</w:t>
          </w:r>
        </w:p>
        <w:p w14:paraId="485AD811" w14:textId="6835A4D7" w:rsidR="00E60466" w:rsidRPr="004F6A32" w:rsidRDefault="00E60466" w:rsidP="00E60466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E0282B">
            <w:rPr>
              <w:b/>
              <w:lang w:val="sr-Cyrl-RS"/>
            </w:rPr>
            <w:t>Датум:</w:t>
          </w:r>
          <w:r w:rsidR="004F6A32">
            <w:rPr>
              <w:b/>
              <w:lang w:val="sr-Latn-RS"/>
            </w:rPr>
            <w:t xml:space="preserve"> 30.03.2026.</w:t>
          </w:r>
        </w:p>
        <w:p w14:paraId="458D9D6B" w14:textId="601FD984" w:rsidR="00987C5A" w:rsidRDefault="00E60466" w:rsidP="00E6046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CS"/>
            </w:rPr>
          </w:pPr>
          <w:r>
            <w:rPr>
              <w:b/>
              <w:lang w:val="sr-Cyrl-RS"/>
            </w:rPr>
            <w:t>СЕВ</w:t>
          </w:r>
        </w:p>
      </w:tc>
    </w:tr>
    <w:tr w:rsidR="00987C5A" w14:paraId="569BE8A6" w14:textId="77777777" w:rsidTr="004F5729">
      <w:trPr>
        <w:trHeight w:val="347"/>
      </w:trPr>
      <w:tc>
        <w:tcPr>
          <w:tcW w:w="0" w:type="auto"/>
          <w:vMerge/>
          <w:vAlign w:val="center"/>
        </w:tcPr>
        <w:p w14:paraId="0BDB04D1" w14:textId="77777777" w:rsidR="00987C5A" w:rsidRDefault="00987C5A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vAlign w:val="center"/>
        </w:tcPr>
        <w:p w14:paraId="6C547B92" w14:textId="77777777" w:rsidR="00987C5A" w:rsidRDefault="00987C5A">
          <w:pPr>
            <w:rPr>
              <w:sz w:val="20"/>
              <w:szCs w:val="22"/>
              <w:lang w:val="ru-RU"/>
            </w:rPr>
          </w:pPr>
        </w:p>
      </w:tc>
      <w:tc>
        <w:tcPr>
          <w:tcW w:w="2430" w:type="dxa"/>
          <w:vAlign w:val="center"/>
        </w:tcPr>
        <w:p w14:paraId="00159258" w14:textId="77777777" w:rsidR="00987C5A" w:rsidRDefault="00987C5A">
          <w:pPr>
            <w:tabs>
              <w:tab w:val="center" w:pos="1418"/>
              <w:tab w:val="right" w:pos="9360"/>
            </w:tabs>
            <w:ind w:right="-588"/>
            <w:rPr>
              <w:b/>
              <w:color w:val="999999"/>
              <w:sz w:val="16"/>
              <w:szCs w:val="16"/>
              <w:lang w:val="sr-Cyrl-CS"/>
            </w:rPr>
          </w:pPr>
        </w:p>
      </w:tc>
    </w:tr>
  </w:tbl>
  <w:p w14:paraId="3639085D" w14:textId="77777777" w:rsidR="00987C5A" w:rsidRPr="00A8751B" w:rsidRDefault="00987C5A" w:rsidP="004F5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A24"/>
    <w:multiLevelType w:val="hybridMultilevel"/>
    <w:tmpl w:val="6626213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C28D7"/>
    <w:multiLevelType w:val="hybridMultilevel"/>
    <w:tmpl w:val="0E3087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993E05"/>
    <w:multiLevelType w:val="hybridMultilevel"/>
    <w:tmpl w:val="F16657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C34D5"/>
    <w:multiLevelType w:val="hybridMultilevel"/>
    <w:tmpl w:val="1E0042F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C3C"/>
    <w:multiLevelType w:val="hybridMultilevel"/>
    <w:tmpl w:val="2C1460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5EBB"/>
    <w:multiLevelType w:val="hybridMultilevel"/>
    <w:tmpl w:val="2C14608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26915">
    <w:abstractNumId w:val="1"/>
  </w:num>
  <w:num w:numId="2" w16cid:durableId="351424096">
    <w:abstractNumId w:val="3"/>
  </w:num>
  <w:num w:numId="3" w16cid:durableId="1617715860">
    <w:abstractNumId w:val="5"/>
  </w:num>
  <w:num w:numId="4" w16cid:durableId="1131361412">
    <w:abstractNumId w:val="4"/>
  </w:num>
  <w:num w:numId="5" w16cid:durableId="1473060636">
    <w:abstractNumId w:val="2"/>
  </w:num>
  <w:num w:numId="6" w16cid:durableId="15138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26"/>
    <w:rsid w:val="00001E4D"/>
    <w:rsid w:val="00005336"/>
    <w:rsid w:val="00010695"/>
    <w:rsid w:val="00016925"/>
    <w:rsid w:val="00016977"/>
    <w:rsid w:val="00020B21"/>
    <w:rsid w:val="00021E13"/>
    <w:rsid w:val="00025A7C"/>
    <w:rsid w:val="0002672C"/>
    <w:rsid w:val="00032E3C"/>
    <w:rsid w:val="00040C38"/>
    <w:rsid w:val="00042F9F"/>
    <w:rsid w:val="00045131"/>
    <w:rsid w:val="000554DF"/>
    <w:rsid w:val="000634E1"/>
    <w:rsid w:val="00065D48"/>
    <w:rsid w:val="00065EDE"/>
    <w:rsid w:val="00077B7F"/>
    <w:rsid w:val="000A49C1"/>
    <w:rsid w:val="000A5BC9"/>
    <w:rsid w:val="000A5DEC"/>
    <w:rsid w:val="000B5C24"/>
    <w:rsid w:val="000D1CB2"/>
    <w:rsid w:val="00101460"/>
    <w:rsid w:val="0010161C"/>
    <w:rsid w:val="0010472A"/>
    <w:rsid w:val="001107EA"/>
    <w:rsid w:val="001251DB"/>
    <w:rsid w:val="0013066F"/>
    <w:rsid w:val="00130F6F"/>
    <w:rsid w:val="00134029"/>
    <w:rsid w:val="00135785"/>
    <w:rsid w:val="00136E34"/>
    <w:rsid w:val="0014776D"/>
    <w:rsid w:val="00160816"/>
    <w:rsid w:val="0016386D"/>
    <w:rsid w:val="00163EB2"/>
    <w:rsid w:val="001763F1"/>
    <w:rsid w:val="0018186D"/>
    <w:rsid w:val="001911F5"/>
    <w:rsid w:val="00192495"/>
    <w:rsid w:val="001A067B"/>
    <w:rsid w:val="001B2DE7"/>
    <w:rsid w:val="001D30E9"/>
    <w:rsid w:val="001D4A00"/>
    <w:rsid w:val="001F0442"/>
    <w:rsid w:val="001F4B2A"/>
    <w:rsid w:val="00212F2B"/>
    <w:rsid w:val="00220CBC"/>
    <w:rsid w:val="0022157D"/>
    <w:rsid w:val="00222E9A"/>
    <w:rsid w:val="00232FD3"/>
    <w:rsid w:val="00234C20"/>
    <w:rsid w:val="00243045"/>
    <w:rsid w:val="0025056B"/>
    <w:rsid w:val="002564E6"/>
    <w:rsid w:val="00261BD6"/>
    <w:rsid w:val="002928A9"/>
    <w:rsid w:val="00293703"/>
    <w:rsid w:val="002A3701"/>
    <w:rsid w:val="002B7B17"/>
    <w:rsid w:val="002C0723"/>
    <w:rsid w:val="002C0C3F"/>
    <w:rsid w:val="002C13F4"/>
    <w:rsid w:val="002D0BEF"/>
    <w:rsid w:val="002D1038"/>
    <w:rsid w:val="002E18EA"/>
    <w:rsid w:val="002E36FF"/>
    <w:rsid w:val="002E6C34"/>
    <w:rsid w:val="002E78AF"/>
    <w:rsid w:val="002F0EDA"/>
    <w:rsid w:val="002F10AE"/>
    <w:rsid w:val="00306C53"/>
    <w:rsid w:val="00316C00"/>
    <w:rsid w:val="00342D4F"/>
    <w:rsid w:val="00350381"/>
    <w:rsid w:val="00351AFE"/>
    <w:rsid w:val="0035226F"/>
    <w:rsid w:val="003672E4"/>
    <w:rsid w:val="003922D3"/>
    <w:rsid w:val="00392418"/>
    <w:rsid w:val="003A1BCA"/>
    <w:rsid w:val="003A458C"/>
    <w:rsid w:val="003B061E"/>
    <w:rsid w:val="003B33C7"/>
    <w:rsid w:val="003B52F9"/>
    <w:rsid w:val="003C0DA7"/>
    <w:rsid w:val="003C4DE0"/>
    <w:rsid w:val="003D1CBB"/>
    <w:rsid w:val="003D260C"/>
    <w:rsid w:val="003D3021"/>
    <w:rsid w:val="003E7A2C"/>
    <w:rsid w:val="003F01B4"/>
    <w:rsid w:val="003F5677"/>
    <w:rsid w:val="003F6C98"/>
    <w:rsid w:val="004077EC"/>
    <w:rsid w:val="00410FCE"/>
    <w:rsid w:val="00414034"/>
    <w:rsid w:val="00436413"/>
    <w:rsid w:val="00437563"/>
    <w:rsid w:val="0045320C"/>
    <w:rsid w:val="00454D38"/>
    <w:rsid w:val="004676FB"/>
    <w:rsid w:val="00494871"/>
    <w:rsid w:val="00497520"/>
    <w:rsid w:val="004A7D6E"/>
    <w:rsid w:val="004B4E7F"/>
    <w:rsid w:val="004D2DD4"/>
    <w:rsid w:val="004D6529"/>
    <w:rsid w:val="004F1217"/>
    <w:rsid w:val="004F227B"/>
    <w:rsid w:val="004F3D54"/>
    <w:rsid w:val="004F5729"/>
    <w:rsid w:val="004F697E"/>
    <w:rsid w:val="004F6A32"/>
    <w:rsid w:val="004F7113"/>
    <w:rsid w:val="00510241"/>
    <w:rsid w:val="005116EC"/>
    <w:rsid w:val="0052682D"/>
    <w:rsid w:val="00533E69"/>
    <w:rsid w:val="00545A30"/>
    <w:rsid w:val="005525CF"/>
    <w:rsid w:val="005757EA"/>
    <w:rsid w:val="005777C9"/>
    <w:rsid w:val="0058199B"/>
    <w:rsid w:val="00582B9D"/>
    <w:rsid w:val="00590B04"/>
    <w:rsid w:val="005A1CDD"/>
    <w:rsid w:val="005A7E60"/>
    <w:rsid w:val="005B1A23"/>
    <w:rsid w:val="005B33B5"/>
    <w:rsid w:val="005B7099"/>
    <w:rsid w:val="005C304D"/>
    <w:rsid w:val="005C434C"/>
    <w:rsid w:val="005E6054"/>
    <w:rsid w:val="005E720E"/>
    <w:rsid w:val="005F3C69"/>
    <w:rsid w:val="005F7D14"/>
    <w:rsid w:val="00611C44"/>
    <w:rsid w:val="0062491B"/>
    <w:rsid w:val="0063542B"/>
    <w:rsid w:val="006361B7"/>
    <w:rsid w:val="00640728"/>
    <w:rsid w:val="0064206F"/>
    <w:rsid w:val="00651FC1"/>
    <w:rsid w:val="00665B7C"/>
    <w:rsid w:val="006766EF"/>
    <w:rsid w:val="00681B26"/>
    <w:rsid w:val="00690480"/>
    <w:rsid w:val="00696D73"/>
    <w:rsid w:val="006B20A6"/>
    <w:rsid w:val="006B4E18"/>
    <w:rsid w:val="006D198B"/>
    <w:rsid w:val="006D6D25"/>
    <w:rsid w:val="006E0242"/>
    <w:rsid w:val="006E4BBF"/>
    <w:rsid w:val="006E7945"/>
    <w:rsid w:val="006F7286"/>
    <w:rsid w:val="0072208D"/>
    <w:rsid w:val="00726D51"/>
    <w:rsid w:val="00731C0E"/>
    <w:rsid w:val="0077740C"/>
    <w:rsid w:val="0078755F"/>
    <w:rsid w:val="00792DC0"/>
    <w:rsid w:val="00793828"/>
    <w:rsid w:val="007A0DA7"/>
    <w:rsid w:val="007C2142"/>
    <w:rsid w:val="007C3262"/>
    <w:rsid w:val="007D3B49"/>
    <w:rsid w:val="007D7E27"/>
    <w:rsid w:val="007E24E3"/>
    <w:rsid w:val="007E63BD"/>
    <w:rsid w:val="007F493D"/>
    <w:rsid w:val="00801C9E"/>
    <w:rsid w:val="008350B9"/>
    <w:rsid w:val="00835804"/>
    <w:rsid w:val="00837971"/>
    <w:rsid w:val="00837AFC"/>
    <w:rsid w:val="00840631"/>
    <w:rsid w:val="0085338D"/>
    <w:rsid w:val="00853ACF"/>
    <w:rsid w:val="00863D8A"/>
    <w:rsid w:val="008760E1"/>
    <w:rsid w:val="00884970"/>
    <w:rsid w:val="00887720"/>
    <w:rsid w:val="00891D64"/>
    <w:rsid w:val="00896A6E"/>
    <w:rsid w:val="00897CF5"/>
    <w:rsid w:val="008A0493"/>
    <w:rsid w:val="008A0984"/>
    <w:rsid w:val="008B71D7"/>
    <w:rsid w:val="008B7241"/>
    <w:rsid w:val="008C126B"/>
    <w:rsid w:val="008C4D94"/>
    <w:rsid w:val="008D0D15"/>
    <w:rsid w:val="00905406"/>
    <w:rsid w:val="00913397"/>
    <w:rsid w:val="00917A27"/>
    <w:rsid w:val="00923F43"/>
    <w:rsid w:val="00925B91"/>
    <w:rsid w:val="00940E6A"/>
    <w:rsid w:val="00943C79"/>
    <w:rsid w:val="009613A4"/>
    <w:rsid w:val="0096788B"/>
    <w:rsid w:val="00982B1A"/>
    <w:rsid w:val="00987C5A"/>
    <w:rsid w:val="009A0456"/>
    <w:rsid w:val="009B2419"/>
    <w:rsid w:val="009B6800"/>
    <w:rsid w:val="009B7F78"/>
    <w:rsid w:val="009C6BF1"/>
    <w:rsid w:val="009E222E"/>
    <w:rsid w:val="009E61E8"/>
    <w:rsid w:val="00A05376"/>
    <w:rsid w:val="00A11D94"/>
    <w:rsid w:val="00A16433"/>
    <w:rsid w:val="00A221D4"/>
    <w:rsid w:val="00A24954"/>
    <w:rsid w:val="00A26492"/>
    <w:rsid w:val="00A278BE"/>
    <w:rsid w:val="00A47A2F"/>
    <w:rsid w:val="00A57A72"/>
    <w:rsid w:val="00A628F9"/>
    <w:rsid w:val="00A6374B"/>
    <w:rsid w:val="00A706BB"/>
    <w:rsid w:val="00A70EA2"/>
    <w:rsid w:val="00A725F8"/>
    <w:rsid w:val="00A73A86"/>
    <w:rsid w:val="00A82658"/>
    <w:rsid w:val="00A85700"/>
    <w:rsid w:val="00A9256F"/>
    <w:rsid w:val="00A9442E"/>
    <w:rsid w:val="00AA1DDF"/>
    <w:rsid w:val="00AA247D"/>
    <w:rsid w:val="00AA4AB8"/>
    <w:rsid w:val="00AB3AEA"/>
    <w:rsid w:val="00AB77D2"/>
    <w:rsid w:val="00AB7BD5"/>
    <w:rsid w:val="00AC4791"/>
    <w:rsid w:val="00AD01F1"/>
    <w:rsid w:val="00AD5ACD"/>
    <w:rsid w:val="00AD7E9F"/>
    <w:rsid w:val="00AE0C86"/>
    <w:rsid w:val="00AE3FE3"/>
    <w:rsid w:val="00AE5F47"/>
    <w:rsid w:val="00AF4D00"/>
    <w:rsid w:val="00B034FF"/>
    <w:rsid w:val="00B34415"/>
    <w:rsid w:val="00B52A7D"/>
    <w:rsid w:val="00B56944"/>
    <w:rsid w:val="00B56F77"/>
    <w:rsid w:val="00B60931"/>
    <w:rsid w:val="00B67939"/>
    <w:rsid w:val="00B70753"/>
    <w:rsid w:val="00B72F7D"/>
    <w:rsid w:val="00B7606B"/>
    <w:rsid w:val="00B7655B"/>
    <w:rsid w:val="00B828BA"/>
    <w:rsid w:val="00B86BF0"/>
    <w:rsid w:val="00B94A7C"/>
    <w:rsid w:val="00B94FA0"/>
    <w:rsid w:val="00BA146D"/>
    <w:rsid w:val="00BA18FF"/>
    <w:rsid w:val="00BA2300"/>
    <w:rsid w:val="00BA2D1E"/>
    <w:rsid w:val="00BB1C78"/>
    <w:rsid w:val="00BB66F4"/>
    <w:rsid w:val="00BB7C14"/>
    <w:rsid w:val="00BD4E1C"/>
    <w:rsid w:val="00BE214F"/>
    <w:rsid w:val="00BF5C1D"/>
    <w:rsid w:val="00C02F89"/>
    <w:rsid w:val="00C17406"/>
    <w:rsid w:val="00C2035A"/>
    <w:rsid w:val="00C20E35"/>
    <w:rsid w:val="00C27D34"/>
    <w:rsid w:val="00C3461D"/>
    <w:rsid w:val="00C35716"/>
    <w:rsid w:val="00C4095D"/>
    <w:rsid w:val="00C52C19"/>
    <w:rsid w:val="00C53151"/>
    <w:rsid w:val="00C66F78"/>
    <w:rsid w:val="00C8277A"/>
    <w:rsid w:val="00C9154C"/>
    <w:rsid w:val="00CA4595"/>
    <w:rsid w:val="00CB1232"/>
    <w:rsid w:val="00CB2D9E"/>
    <w:rsid w:val="00CE2D8E"/>
    <w:rsid w:val="00CE4C28"/>
    <w:rsid w:val="00CF4796"/>
    <w:rsid w:val="00CF56AC"/>
    <w:rsid w:val="00CF63EC"/>
    <w:rsid w:val="00D01971"/>
    <w:rsid w:val="00D04A1E"/>
    <w:rsid w:val="00D23117"/>
    <w:rsid w:val="00D30B2F"/>
    <w:rsid w:val="00D447B0"/>
    <w:rsid w:val="00D51D94"/>
    <w:rsid w:val="00D560A0"/>
    <w:rsid w:val="00D71BB0"/>
    <w:rsid w:val="00D835F7"/>
    <w:rsid w:val="00D84E99"/>
    <w:rsid w:val="00D85A29"/>
    <w:rsid w:val="00D957CE"/>
    <w:rsid w:val="00DA5AB9"/>
    <w:rsid w:val="00DA6C26"/>
    <w:rsid w:val="00DB2A78"/>
    <w:rsid w:val="00DD26D7"/>
    <w:rsid w:val="00DD4089"/>
    <w:rsid w:val="00DF73EF"/>
    <w:rsid w:val="00E233B7"/>
    <w:rsid w:val="00E23FA0"/>
    <w:rsid w:val="00E271E3"/>
    <w:rsid w:val="00E34EBE"/>
    <w:rsid w:val="00E35FC3"/>
    <w:rsid w:val="00E412EC"/>
    <w:rsid w:val="00E60466"/>
    <w:rsid w:val="00E6154E"/>
    <w:rsid w:val="00E8107C"/>
    <w:rsid w:val="00E815A8"/>
    <w:rsid w:val="00EA006E"/>
    <w:rsid w:val="00EB2D53"/>
    <w:rsid w:val="00EB3A24"/>
    <w:rsid w:val="00ED50AD"/>
    <w:rsid w:val="00EE5369"/>
    <w:rsid w:val="00EE6C27"/>
    <w:rsid w:val="00EF242A"/>
    <w:rsid w:val="00F004B1"/>
    <w:rsid w:val="00F076B9"/>
    <w:rsid w:val="00F20E92"/>
    <w:rsid w:val="00F2736E"/>
    <w:rsid w:val="00F37DD7"/>
    <w:rsid w:val="00F42F58"/>
    <w:rsid w:val="00F457EF"/>
    <w:rsid w:val="00F46691"/>
    <w:rsid w:val="00F46AB7"/>
    <w:rsid w:val="00F513CC"/>
    <w:rsid w:val="00F603ED"/>
    <w:rsid w:val="00F61DD1"/>
    <w:rsid w:val="00F70D91"/>
    <w:rsid w:val="00F765D4"/>
    <w:rsid w:val="00F84ED0"/>
    <w:rsid w:val="00FB06E6"/>
    <w:rsid w:val="00FC0E46"/>
    <w:rsid w:val="00FC7C35"/>
    <w:rsid w:val="00FE76B2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82574"/>
  <w15:docId w15:val="{E1EED9F2-0D30-4D70-84C4-FC78777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A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6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A6C26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DA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6C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A6C26"/>
    <w:rPr>
      <w:rFonts w:cs="Times New Roman"/>
      <w:vertAlign w:val="superscript"/>
    </w:rPr>
  </w:style>
  <w:style w:type="paragraph" w:styleId="NoSpacing">
    <w:name w:val="No Spacing"/>
    <w:qFormat/>
    <w:rsid w:val="00DA6C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2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4F572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2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1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1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447A-3AC5-4BED-8E15-F04644F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Jelena Đaja Golubović</cp:lastModifiedBy>
  <cp:revision>27</cp:revision>
  <cp:lastPrinted>2019-03-25T08:35:00Z</cp:lastPrinted>
  <dcterms:created xsi:type="dcterms:W3CDTF">2026-03-03T09:49:00Z</dcterms:created>
  <dcterms:modified xsi:type="dcterms:W3CDTF">2026-04-08T08:47:00Z</dcterms:modified>
</cp:coreProperties>
</file>