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9BDB" w14:textId="77777777" w:rsidR="00BA7597" w:rsidRDefault="00BA7597"/>
    <w:p w14:paraId="5831135C" w14:textId="2F47B295" w:rsidR="00BA7597" w:rsidRDefault="00BA7597" w:rsidP="00BA7597">
      <w:pPr>
        <w:jc w:val="center"/>
        <w:rPr>
          <w:b/>
          <w:bCs/>
          <w:lang w:val="sr-Cyrl-RS"/>
        </w:rPr>
      </w:pPr>
      <w:r w:rsidRPr="00BA7597">
        <w:rPr>
          <w:b/>
          <w:bCs/>
          <w:lang w:val="sr-Cyrl-RS"/>
        </w:rPr>
        <w:t>Анализа тржишта фталата у Републици Србији</w:t>
      </w:r>
      <w:r w:rsidR="0049122F">
        <w:rPr>
          <w:b/>
          <w:bCs/>
          <w:lang w:val="sr-Cyrl-RS"/>
        </w:rPr>
        <w:t xml:space="preserve"> </w:t>
      </w:r>
    </w:p>
    <w:p w14:paraId="0768444B" w14:textId="0EED232C" w:rsidR="0049122F" w:rsidRPr="00BA7597" w:rsidRDefault="0049122F" w:rsidP="00BA759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за период 2015 - 2024</w:t>
      </w:r>
    </w:p>
    <w:p w14:paraId="0F28D6A5" w14:textId="77777777" w:rsidR="00BA7597" w:rsidRDefault="00BA7597"/>
    <w:p w14:paraId="3C2E0256" w14:textId="77777777" w:rsidR="00BA7597" w:rsidRDefault="00BA7597"/>
    <w:p w14:paraId="20C9F581" w14:textId="403A97AE" w:rsidR="00BA7597" w:rsidRPr="00E80963" w:rsidRDefault="00BA7597" w:rsidP="00BA7597">
      <w:pPr>
        <w:pStyle w:val="ListParagraph"/>
        <w:spacing w:line="276" w:lineRule="auto"/>
        <w:ind w:left="100" w:firstLine="608"/>
        <w:jc w:val="both"/>
        <w:rPr>
          <w:lang w:val="sr-Cyrl-RS"/>
        </w:rPr>
      </w:pPr>
      <w:r w:rsidRPr="00704909">
        <w:rPr>
          <w:lang w:val="sr-Cyrl-RS"/>
        </w:rPr>
        <w:t>Из анализе тржишта хемикалија у Републици Србији, од свих идентификованих супстанци</w:t>
      </w:r>
      <w:r>
        <w:rPr>
          <w:lang w:val="sr-Cyrl-RS"/>
        </w:rPr>
        <w:t xml:space="preserve"> које изазивају забринутост, виш</w:t>
      </w:r>
      <w:r w:rsidRPr="00704909">
        <w:rPr>
          <w:lang w:val="sr-Cyrl-RS"/>
        </w:rPr>
        <w:t xml:space="preserve">е од 2/3 чине фталати који се користе као омекшивачи пластичних производа од поливилин хлорида </w:t>
      </w:r>
      <w:r w:rsidRPr="00E80963">
        <w:rPr>
          <w:lang w:val="sr-Cyrl-RS"/>
        </w:rPr>
        <w:t>(</w:t>
      </w:r>
      <w:r>
        <w:rPr>
          <w:lang w:val="sr-Cyrl-RS"/>
        </w:rPr>
        <w:t xml:space="preserve">према подацима из Интегралног регистра хемикалија </w:t>
      </w:r>
      <w:r w:rsidRPr="00E80963">
        <w:rPr>
          <w:lang w:val="sr-Cyrl-RS"/>
        </w:rPr>
        <w:t>из 2019. год.) идентификов</w:t>
      </w:r>
      <w:r>
        <w:rPr>
          <w:lang w:val="sr-Cyrl-RS"/>
        </w:rPr>
        <w:t xml:space="preserve">ани су следећи </w:t>
      </w:r>
      <w:r w:rsidRPr="00E80963">
        <w:rPr>
          <w:lang w:val="sr-Cyrl-RS"/>
        </w:rPr>
        <w:t>фталат</w:t>
      </w:r>
      <w:r>
        <w:rPr>
          <w:lang w:val="sr-Cyrl-RS"/>
        </w:rPr>
        <w:t>и</w:t>
      </w:r>
      <w:r w:rsidRPr="00E80963">
        <w:rPr>
          <w:lang w:val="sr-Cyrl-RS"/>
        </w:rPr>
        <w:t xml:space="preserve"> на тржишту Републике Србије:</w:t>
      </w:r>
    </w:p>
    <w:p w14:paraId="7EDC0B22" w14:textId="77777777" w:rsidR="00BA7597" w:rsidRPr="00E80963" w:rsidRDefault="00BA7597" w:rsidP="00BA7597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E80963">
        <w:rPr>
          <w:lang w:val="sr-Cyrl-RS"/>
        </w:rPr>
        <w:t>Bis (2-етилхексил)-фталат; ди-(2-етилхексил)-фталат; DEHP;</w:t>
      </w:r>
    </w:p>
    <w:p w14:paraId="5AA41D2C" w14:textId="77777777" w:rsidR="00BA7597" w:rsidRPr="00E80963" w:rsidRDefault="00BA7597" w:rsidP="00BA7597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E80963">
        <w:rPr>
          <w:lang w:val="sr-Cyrl-RS"/>
        </w:rPr>
        <w:t>Диизобутил-фталат (DIBP) и дибутил-фталат (DBP);</w:t>
      </w:r>
    </w:p>
    <w:p w14:paraId="65000AB5" w14:textId="77777777" w:rsidR="00BA7597" w:rsidRPr="00E80963" w:rsidRDefault="00BA7597" w:rsidP="00BA7597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E80963">
        <w:rPr>
          <w:lang w:val="sr-Cyrl-RS"/>
        </w:rPr>
        <w:t>Диоктил-фталат (DOP).</w:t>
      </w:r>
    </w:p>
    <w:p w14:paraId="2A12E790" w14:textId="77777777" w:rsidR="00BA7597" w:rsidRDefault="00BA7597" w:rsidP="00BA7597">
      <w:pPr>
        <w:spacing w:line="276" w:lineRule="auto"/>
        <w:ind w:firstLine="708"/>
        <w:jc w:val="both"/>
      </w:pPr>
    </w:p>
    <w:p w14:paraId="4DA7A6E8" w14:textId="5593F78D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E80963">
        <w:rPr>
          <w:lang w:val="sr-Cyrl-RS"/>
        </w:rPr>
        <w:t xml:space="preserve">Укупна количина </w:t>
      </w:r>
      <w:r>
        <w:rPr>
          <w:lang w:val="sr-Cyrl-RS"/>
        </w:rPr>
        <w:t xml:space="preserve">горе наведених </w:t>
      </w:r>
      <w:r w:rsidRPr="00E80963">
        <w:rPr>
          <w:lang w:val="sr-Cyrl-RS"/>
        </w:rPr>
        <w:t>фталата која је увезена и стављена у промет изно</w:t>
      </w:r>
      <w:r>
        <w:rPr>
          <w:lang w:val="sr-Cyrl-RS"/>
        </w:rPr>
        <w:t>сила је</w:t>
      </w:r>
      <w:r w:rsidRPr="00E80963">
        <w:rPr>
          <w:lang w:val="sr-Cyrl-RS"/>
        </w:rPr>
        <w:t xml:space="preserve"> око 198 тона</w:t>
      </w:r>
      <w:r>
        <w:rPr>
          <w:lang w:val="sr-Cyrl-RS"/>
        </w:rPr>
        <w:t xml:space="preserve"> у 2019. години,</w:t>
      </w:r>
      <w:r>
        <w:rPr>
          <w:lang w:val="sr-Cyrl-RS"/>
        </w:rPr>
        <w:t xml:space="preserve"> док је </w:t>
      </w:r>
      <w:r>
        <w:rPr>
          <w:lang w:val="sr-Cyrl-RS"/>
        </w:rPr>
        <w:t xml:space="preserve">преко 5.000 тона </w:t>
      </w:r>
      <w:r>
        <w:rPr>
          <w:lang w:val="sr-Cyrl-RS"/>
        </w:rPr>
        <w:t>стављено у промет у 2015. години</w:t>
      </w:r>
      <w:r>
        <w:rPr>
          <w:lang w:val="sr-Cyrl-RS"/>
        </w:rPr>
        <w:t xml:space="preserve">. </w:t>
      </w:r>
      <w:r w:rsidRPr="00E80963">
        <w:rPr>
          <w:lang w:val="sr-Cyrl-RS"/>
        </w:rPr>
        <w:t xml:space="preserve">Идентификовано је укупно 19. привредних субјеката са седиштем на територији Републике Србије који су током 2019. године увозили фталате као супстанце и као  </w:t>
      </w:r>
      <w:r>
        <w:rPr>
          <w:lang w:val="sr-Cyrl-RS"/>
        </w:rPr>
        <w:t>смеше</w:t>
      </w:r>
      <w:r w:rsidRPr="00E80963">
        <w:rPr>
          <w:lang w:val="sr-Cyrl-RS"/>
        </w:rPr>
        <w:t xml:space="preserve"> које су у себи садржале фталате.</w:t>
      </w:r>
    </w:p>
    <w:p w14:paraId="3A5C4809" w14:textId="77777777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025908CD" w14:textId="2F8196DF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lang w:val="sr-Cyrl-RS"/>
        </w:rPr>
        <w:t xml:space="preserve">Упоредна анализа података из Регистра хемикалија </w:t>
      </w:r>
      <w:r>
        <w:rPr>
          <w:lang w:val="sr-Cyrl-RS"/>
        </w:rPr>
        <w:t xml:space="preserve">коју је извршило </w:t>
      </w:r>
      <w:r w:rsidRPr="00BA7597">
        <w:rPr>
          <w:lang w:val="sr-Cyrl-RS"/>
        </w:rPr>
        <w:t>МЗЖС је показала додатно смањење количина горе наведених фталата (DEHP, DBP и DOP) у поређењу са количинама фталата из 2019. године и укупна увезена количина у 2024. години износи је око 108 тона, и то од стране 2 увозника (са категоријом коришћења као пластификатор) што представља укупно кумулативно смањење промета фталата од преко 96% у односу на количине из 2015. године односно идентификује се значајан тренд смањења промета фталата у периоду 2015 – 2024 што показује добру примену регулаторне мере забране и ограничење фталата</w:t>
      </w:r>
      <w:r>
        <w:rPr>
          <w:lang w:val="sr-Cyrl-RS"/>
        </w:rPr>
        <w:t xml:space="preserve"> </w:t>
      </w:r>
      <w:r w:rsidRPr="00BA7597">
        <w:rPr>
          <w:lang w:val="sr-Cyrl-RS"/>
        </w:rPr>
        <w:t xml:space="preserve">у складу са прописом којим се регулишу забране и ограничења производње, стављања у промет и коришћења хемикалија </w:t>
      </w:r>
      <w:r>
        <w:rPr>
          <w:lang w:val="sr-Cyrl-RS"/>
        </w:rPr>
        <w:t>од стране привреде</w:t>
      </w:r>
      <w:r w:rsidRPr="00BA7597">
        <w:rPr>
          <w:lang w:val="sr-Cyrl-RS"/>
        </w:rPr>
        <w:t xml:space="preserve"> (Дијаграм </w:t>
      </w:r>
      <w:r>
        <w:rPr>
          <w:lang w:val="sr-Cyrl-RS"/>
        </w:rPr>
        <w:t>1</w:t>
      </w:r>
      <w:r w:rsidRPr="00BA7597">
        <w:rPr>
          <w:lang w:val="sr-Cyrl-RS"/>
        </w:rPr>
        <w:t xml:space="preserve">). </w:t>
      </w:r>
    </w:p>
    <w:p w14:paraId="05C776E7" w14:textId="77777777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544EA6EB" w14:textId="24F912E2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>
        <w:rPr>
          <w:noProof/>
          <w:lang w:val="sr-Cyrl-RS"/>
        </w:rPr>
        <w:lastRenderedPageBreak/>
        <w:drawing>
          <wp:inline distT="0" distB="0" distL="0" distR="0" wp14:anchorId="074D1DF8" wp14:editId="7E7A43A9">
            <wp:extent cx="4888875" cy="3124200"/>
            <wp:effectExtent l="0" t="0" r="6985" b="0"/>
            <wp:docPr id="393341003" name="Picture 2" descr="A graph with blue and green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41003" name="Picture 2" descr="A graph with blue and green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827" cy="312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49F19" w14:textId="77777777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2C793C57" w14:textId="77777777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437FFB4A" w14:textId="7B7AE5F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b/>
          <w:bCs/>
          <w:lang w:val="sr-Cyrl-RS"/>
        </w:rPr>
        <w:t xml:space="preserve">Дијаграм </w:t>
      </w:r>
      <w:r w:rsidRPr="00BA7597">
        <w:rPr>
          <w:b/>
          <w:bCs/>
          <w:lang w:val="sr-Cyrl-RS"/>
        </w:rPr>
        <w:t>1</w:t>
      </w:r>
      <w:r w:rsidRPr="00BA7597">
        <w:rPr>
          <w:lang w:val="sr-Cyrl-RS"/>
        </w:rPr>
        <w:t xml:space="preserve"> – Тренд смањења промета фталата ((DEHP, DBP и DOP) за период (2015 – 2024) (извор: Интегрални ре</w:t>
      </w:r>
      <w:r>
        <w:rPr>
          <w:lang w:val="sr-Cyrl-RS"/>
        </w:rPr>
        <w:t>гистар</w:t>
      </w:r>
      <w:r w:rsidRPr="00BA7597">
        <w:rPr>
          <w:lang w:val="sr-Cyrl-RS"/>
        </w:rPr>
        <w:t xml:space="preserve"> хемикалија). </w:t>
      </w:r>
    </w:p>
    <w:p w14:paraId="77806A73" w14:textId="77777777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2E4EC46D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16FAFCB7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494C7E3C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38EADE30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22EB26FE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698832E3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2BC91203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2670FCEC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3FE917B4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50BD6982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54F36C7C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1EE90B35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0A833E50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07A5FFCE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4192CB56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18866D0F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7D7FF2E2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7C4C346D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744E6EF1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0D5C7001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2406F475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6AE0F266" w14:textId="77777777" w:rsidR="00BA7597" w:rsidRDefault="00BA7597" w:rsidP="00BA7597">
      <w:pPr>
        <w:spacing w:line="276" w:lineRule="auto"/>
        <w:jc w:val="both"/>
        <w:rPr>
          <w:lang w:val="sr-Cyrl-RS"/>
        </w:rPr>
      </w:pPr>
    </w:p>
    <w:p w14:paraId="44C2C3EF" w14:textId="528A14A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lang w:val="sr-Cyrl-RS"/>
        </w:rPr>
        <w:lastRenderedPageBreak/>
        <w:t>Такође, истом анализом показано је да су забрањени фталати успешно за</w:t>
      </w:r>
      <w:r>
        <w:rPr>
          <w:lang w:val="sr-Cyrl-RS"/>
        </w:rPr>
        <w:t>мењени</w:t>
      </w:r>
      <w:r w:rsidRPr="00BA7597">
        <w:rPr>
          <w:lang w:val="sr-Cyrl-RS"/>
        </w:rPr>
        <w:t xml:space="preserve"> доступним алтернативама ( DINP, DIDP I DIBP) које су класификоване у мањи број класа опасности у поређењу са DEHP, DBP и DOP </w:t>
      </w:r>
      <w:r w:rsidR="0049122F">
        <w:rPr>
          <w:lang w:val="sr-Cyrl-RS"/>
        </w:rPr>
        <w:t>(</w:t>
      </w:r>
      <w:r w:rsidRPr="00BA7597">
        <w:rPr>
          <w:lang w:val="sr-Cyrl-RS"/>
        </w:rPr>
        <w:t xml:space="preserve">Дијаграм 2). </w:t>
      </w:r>
    </w:p>
    <w:p w14:paraId="7EE37645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773D3C16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lang w:val="sr-Cyrl-RS"/>
        </w:rPr>
        <w:t xml:space="preserve"> </w:t>
      </w:r>
    </w:p>
    <w:p w14:paraId="0336FE20" w14:textId="708BCC7D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>
        <w:rPr>
          <w:noProof/>
        </w:rPr>
        <w:drawing>
          <wp:inline distT="0" distB="0" distL="0" distR="0" wp14:anchorId="492E95CF" wp14:editId="28AA2174">
            <wp:extent cx="5731510" cy="3660775"/>
            <wp:effectExtent l="0" t="0" r="2540" b="0"/>
            <wp:docPr id="1435678977" name="Picture 3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78977" name="Picture 3" descr="A graph with blue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640E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3E68117A" w14:textId="16473478" w:rsidR="00BA7597" w:rsidRPr="00BA7597" w:rsidRDefault="00BA7597" w:rsidP="0049122F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lang w:val="sr-Cyrl-RS"/>
        </w:rPr>
        <w:t xml:space="preserve"> </w:t>
      </w:r>
    </w:p>
    <w:p w14:paraId="39735D8C" w14:textId="2503B799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b/>
          <w:bCs/>
          <w:lang w:val="sr-Cyrl-RS"/>
        </w:rPr>
        <w:t>Дијаграм 2</w:t>
      </w:r>
      <w:r w:rsidRPr="00BA7597">
        <w:rPr>
          <w:lang w:val="sr-Cyrl-RS"/>
        </w:rPr>
        <w:t xml:space="preserve"> – Промет алтернатива забрањеним фталатима на тржишту РС у 2024. год. (извор: Интегрални редисстар хемикалија).</w:t>
      </w:r>
    </w:p>
    <w:p w14:paraId="19D890BD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69A6A919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0043EBEC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4D1756F6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4B972779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1B325A3F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6AFC6DFD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36FD2F10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5DABD526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04DD458C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2062C612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4D766443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2DD150B6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1E53A0DA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25020B47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24356413" w14:textId="094E899D" w:rsid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lang w:val="sr-Cyrl-RS"/>
        </w:rPr>
        <w:lastRenderedPageBreak/>
        <w:t xml:space="preserve">Анализа алтернатива фталатима показала је да је као алтернатива најзаступљенији диизононил фталат (DINP – 95%), док га следи диизодецил фталат (4,9%) и диизобутил фталат (0,1%) (Дијаграм 3). </w:t>
      </w:r>
    </w:p>
    <w:p w14:paraId="61384BA7" w14:textId="77777777" w:rsidR="0049122F" w:rsidRDefault="0049122F" w:rsidP="00BA7597">
      <w:pPr>
        <w:spacing w:line="276" w:lineRule="auto"/>
        <w:ind w:firstLine="708"/>
        <w:jc w:val="both"/>
        <w:rPr>
          <w:lang w:val="sr-Cyrl-RS"/>
        </w:rPr>
      </w:pPr>
    </w:p>
    <w:p w14:paraId="752C9C6C" w14:textId="65FC8DBD" w:rsidR="0049122F" w:rsidRPr="00BA7597" w:rsidRDefault="0049122F" w:rsidP="0049122F">
      <w:pPr>
        <w:spacing w:line="276" w:lineRule="auto"/>
        <w:ind w:firstLine="708"/>
        <w:jc w:val="center"/>
        <w:rPr>
          <w:lang w:val="sr-Cyrl-RS"/>
        </w:rPr>
      </w:pPr>
      <w:r w:rsidRPr="004B6D12">
        <w:rPr>
          <w:noProof/>
        </w:rPr>
        <w:drawing>
          <wp:inline distT="0" distB="0" distL="0" distR="0" wp14:anchorId="4854CBA0" wp14:editId="59326D0E">
            <wp:extent cx="4933950" cy="4095750"/>
            <wp:effectExtent l="0" t="0" r="0" b="0"/>
            <wp:docPr id="289906781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F4CF655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3692F505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3ECE8800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lang w:val="sr-Cyrl-RS"/>
        </w:rPr>
        <w:t xml:space="preserve"> </w:t>
      </w:r>
    </w:p>
    <w:p w14:paraId="144430E9" w14:textId="77777777" w:rsidR="00BA7597" w:rsidRPr="00BA7597" w:rsidRDefault="00BA7597" w:rsidP="00BA7597">
      <w:pPr>
        <w:spacing w:line="276" w:lineRule="auto"/>
        <w:ind w:firstLine="708"/>
        <w:jc w:val="both"/>
        <w:rPr>
          <w:lang w:val="sr-Cyrl-RS"/>
        </w:rPr>
      </w:pPr>
    </w:p>
    <w:p w14:paraId="3559DF00" w14:textId="472AA069" w:rsidR="00BA7597" w:rsidRPr="00E80963" w:rsidRDefault="00BA7597" w:rsidP="00BA7597">
      <w:pPr>
        <w:spacing w:line="276" w:lineRule="auto"/>
        <w:ind w:firstLine="708"/>
        <w:jc w:val="both"/>
        <w:rPr>
          <w:lang w:val="sr-Cyrl-RS"/>
        </w:rPr>
      </w:pPr>
      <w:r w:rsidRPr="00BA7597">
        <w:rPr>
          <w:lang w:val="sr-Cyrl-RS"/>
        </w:rPr>
        <w:t>Дијаграм 3 – Процентуална расподела алтернатива фталатима у 2024. год. (извор: Интегрални редисстар хемикалија).</w:t>
      </w:r>
    </w:p>
    <w:p w14:paraId="7CC05EE6" w14:textId="1B9DF57A" w:rsidR="00BA7597" w:rsidRPr="00BA7597" w:rsidRDefault="00BA7597" w:rsidP="00BA7597">
      <w:pPr>
        <w:rPr>
          <w:lang w:val="sr-Cyrl-RS"/>
        </w:rPr>
      </w:pPr>
    </w:p>
    <w:sectPr w:rsidR="00BA7597" w:rsidRPr="00BA75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Times Bris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D43FF"/>
    <w:multiLevelType w:val="hybridMultilevel"/>
    <w:tmpl w:val="A3F21D5C"/>
    <w:lvl w:ilvl="0" w:tplc="FFFFFFFF">
      <w:numFmt w:val="bullet"/>
      <w:lvlText w:val="-"/>
      <w:lvlJc w:val="left"/>
      <w:pPr>
        <w:ind w:left="1428" w:hanging="360"/>
      </w:pPr>
      <w:rPr>
        <w:rFonts w:ascii="YU Times Brisi" w:eastAsia="Times New Roman" w:hAnsi="YU Times Bri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63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97"/>
    <w:rsid w:val="0049122F"/>
    <w:rsid w:val="00BA5BEC"/>
    <w:rsid w:val="00BA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9EDC"/>
  <w15:chartTrackingRefBased/>
  <w15:docId w15:val="{FDAC9625-AEF9-4EA2-8ADA-1C2BC874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9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597"/>
    <w:rPr>
      <w:b/>
      <w:bCs/>
      <w:smallCaps/>
      <w:color w:val="0F4761" w:themeColor="accent1" w:themeShade="BF"/>
      <w:spacing w:val="5"/>
    </w:rPr>
  </w:style>
  <w:style w:type="paragraph" w:customStyle="1" w:styleId="Char1">
    <w:name w:val=" Char1"/>
    <w:basedOn w:val="Normal"/>
    <w:rsid w:val="00BA7597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Процентуална расподела промета алтернатива забрањеним фталатима у 2024. год.</a:t>
            </a:r>
            <a:endParaRPr lang="sr-Latn-R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3F0-4F16-807E-1C4E8099F7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3F0-4F16-807E-1C4E8099F7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3F0-4F16-807E-1C4E8099F7ED}"/>
              </c:ext>
            </c:extLst>
          </c:dPt>
          <c:dLbls>
            <c:dLbl>
              <c:idx val="0"/>
              <c:layout>
                <c:manualLayout>
                  <c:x val="-1.6392055324999502E-2"/>
                  <c:y val="-0.2289389689825084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F0-4F16-807E-1C4E8099F7ED}"/>
                </c:ext>
              </c:extLst>
            </c:dLbl>
            <c:dLbl>
              <c:idx val="1"/>
              <c:layout>
                <c:manualLayout>
                  <c:x val="8.8146257729744479E-3"/>
                  <c:y val="0.10611643833704527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095646114204641E-2"/>
                      <c:h val="7.17086619277324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3F0-4F16-807E-1C4E8099F7ED}"/>
                </c:ext>
              </c:extLst>
            </c:dLbl>
            <c:dLbl>
              <c:idx val="2"/>
              <c:layout>
                <c:manualLayout>
                  <c:x val="2.7057409837934844E-2"/>
                  <c:y val="9.840633977966097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81330117046936E-2"/>
                      <c:h val="8.35254990907858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3F0-4F16-807E-1C4E8099F7E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Sheet1!$A$1:$A$3</c:f>
              <c:strCache>
                <c:ptCount val="3"/>
                <c:pt idx="0">
                  <c:v>DINP</c:v>
                </c:pt>
                <c:pt idx="1">
                  <c:v>DIDP</c:v>
                </c:pt>
                <c:pt idx="2">
                  <c:v>DIBP</c:v>
                </c:pt>
              </c:strCache>
            </c:strRef>
          </c:cat>
          <c:val>
            <c:numRef>
              <c:f>Sheet1!$B$1:$B$3</c:f>
              <c:numCache>
                <c:formatCode>0.00</c:formatCode>
                <c:ptCount val="3"/>
                <c:pt idx="0">
                  <c:v>95</c:v>
                </c:pt>
                <c:pt idx="1">
                  <c:v>4.9000000000000004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F0-4F16-807E-1C4E8099F7E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74803149606284"/>
          <c:y val="0.74401953244216568"/>
          <c:w val="0.22154622564071388"/>
          <c:h val="0.2198610755050967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Đuričković</dc:creator>
  <cp:keywords/>
  <dc:description/>
  <cp:lastModifiedBy>Ivan Đuričković</cp:lastModifiedBy>
  <cp:revision>1</cp:revision>
  <dcterms:created xsi:type="dcterms:W3CDTF">2025-11-03T13:21:00Z</dcterms:created>
  <dcterms:modified xsi:type="dcterms:W3CDTF">2025-11-03T13:33:00Z</dcterms:modified>
</cp:coreProperties>
</file>