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0D2FB" w14:textId="54BABA6E" w:rsidR="002D22D7" w:rsidRPr="006B3E61" w:rsidRDefault="002D22D7" w:rsidP="002D22D7">
      <w:pPr>
        <w:jc w:val="center"/>
        <w:rPr>
          <w:b/>
          <w:bCs/>
          <w:color w:val="auto"/>
          <w:sz w:val="28"/>
          <w:szCs w:val="28"/>
          <w:lang w:val="sr-Latn-RS"/>
        </w:rPr>
      </w:pPr>
      <w:r w:rsidRPr="006B3E61">
        <w:rPr>
          <w:b/>
          <w:color w:val="auto"/>
          <w:sz w:val="28"/>
          <w:szCs w:val="28"/>
        </w:rPr>
        <w:t>ESPOO Notification</w:t>
      </w:r>
    </w:p>
    <w:p w14:paraId="5149FD8B" w14:textId="0B9B2DC9" w:rsidR="002D22D7" w:rsidRPr="006B3E61" w:rsidRDefault="002D22D7" w:rsidP="002D22D7">
      <w:pPr>
        <w:jc w:val="center"/>
        <w:rPr>
          <w:b/>
          <w:bCs/>
          <w:color w:val="auto"/>
          <w:sz w:val="28"/>
          <w:szCs w:val="28"/>
          <w:lang w:val="sr-Latn-RS"/>
        </w:rPr>
      </w:pPr>
      <w:r w:rsidRPr="006B3E61">
        <w:rPr>
          <w:b/>
          <w:color w:val="auto"/>
          <w:sz w:val="28"/>
          <w:szCs w:val="28"/>
        </w:rPr>
        <w:t xml:space="preserve">Jadar Project </w:t>
      </w:r>
      <w:r w:rsidR="00B31B03">
        <w:rPr>
          <w:b/>
          <w:color w:val="auto"/>
          <w:sz w:val="28"/>
          <w:szCs w:val="28"/>
        </w:rPr>
        <w:t>–</w:t>
      </w:r>
      <w:r w:rsidRPr="006B3E61">
        <w:rPr>
          <w:b/>
          <w:color w:val="auto"/>
          <w:sz w:val="28"/>
          <w:szCs w:val="28"/>
        </w:rPr>
        <w:t xml:space="preserve"> Underground</w:t>
      </w:r>
      <w:r w:rsidR="00B31B03">
        <w:rPr>
          <w:b/>
          <w:color w:val="auto"/>
          <w:sz w:val="28"/>
          <w:szCs w:val="28"/>
        </w:rPr>
        <w:t xml:space="preserve"> Mining </w:t>
      </w:r>
      <w:r w:rsidRPr="006B3E61">
        <w:rPr>
          <w:b/>
          <w:color w:val="auto"/>
          <w:sz w:val="28"/>
          <w:szCs w:val="28"/>
        </w:rPr>
        <w:t>of Lithium and Boron Deposit</w:t>
      </w:r>
    </w:p>
    <w:p w14:paraId="2B79DB4F" w14:textId="77777777" w:rsidR="002D22D7" w:rsidRPr="006B3E61" w:rsidRDefault="002D22D7">
      <w:pPr>
        <w:rPr>
          <w:color w:val="auto"/>
          <w:lang w:val="sr-Latn-RS"/>
        </w:rPr>
      </w:pPr>
    </w:p>
    <w:tbl>
      <w:tblPr>
        <w:tblOverlap w:val="never"/>
        <w:tblW w:w="9259" w:type="dxa"/>
        <w:jc w:val="center"/>
        <w:tblLayout w:type="fixed"/>
        <w:tblCellMar>
          <w:left w:w="10" w:type="dxa"/>
          <w:right w:w="10" w:type="dxa"/>
        </w:tblCellMar>
        <w:tblLook w:val="0600" w:firstRow="0" w:lastRow="0" w:firstColumn="0" w:lastColumn="0" w:noHBand="1" w:noVBand="1"/>
      </w:tblPr>
      <w:tblGrid>
        <w:gridCol w:w="4650"/>
        <w:gridCol w:w="4609"/>
      </w:tblGrid>
      <w:tr w:rsidR="006B3E61" w:rsidRPr="006B3E61" w14:paraId="3E602DBC"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D9D9D9"/>
            <w:vAlign w:val="center"/>
          </w:tcPr>
          <w:p w14:paraId="7871BCAD" w14:textId="67B1E37F" w:rsidR="006B3E61" w:rsidRPr="006B3E61" w:rsidRDefault="002D22D7">
            <w:pPr>
              <w:pStyle w:val="Other0"/>
              <w:spacing w:after="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1. INFORMATION ON THE PROPOSED ACTIVITY</w:t>
            </w:r>
          </w:p>
        </w:tc>
      </w:tr>
      <w:tr w:rsidR="00A7561A" w:rsidRPr="006B3E61" w14:paraId="0BD82766"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D9D9D9"/>
            <w:vAlign w:val="center"/>
          </w:tcPr>
          <w:p w14:paraId="4314B107" w14:textId="77777777" w:rsidR="00535D4C" w:rsidRPr="006B3E61" w:rsidRDefault="00A240B3">
            <w:pPr>
              <w:pStyle w:val="Other0"/>
              <w:spacing w:after="0"/>
              <w:rPr>
                <w:rFonts w:asciiTheme="minorHAnsi" w:hAnsiTheme="minorHAnsi" w:cstheme="minorHAnsi"/>
                <w:color w:val="auto"/>
                <w:sz w:val="28"/>
                <w:szCs w:val="28"/>
                <w:lang w:val="sr-Latn-RS"/>
              </w:rPr>
            </w:pPr>
            <w:r w:rsidRPr="006B3E61">
              <w:rPr>
                <w:rFonts w:asciiTheme="minorHAnsi" w:eastAsia="Times New Roman" w:hAnsiTheme="minorHAnsi" w:cstheme="minorHAnsi"/>
                <w:b/>
                <w:color w:val="auto"/>
                <w:sz w:val="28"/>
                <w:szCs w:val="28"/>
              </w:rPr>
              <w:t>(i) Information on the nature of the proposed activity</w:t>
            </w:r>
          </w:p>
        </w:tc>
      </w:tr>
      <w:tr w:rsidR="00A7561A" w:rsidRPr="006B3E61" w14:paraId="5B9EAC25"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vAlign w:val="center"/>
          </w:tcPr>
          <w:p w14:paraId="7E6C1CF6" w14:textId="77777777" w:rsidR="00535D4C" w:rsidRPr="006B3E61" w:rsidRDefault="00A240B3">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Type of activity proposed:</w:t>
            </w:r>
          </w:p>
          <w:p w14:paraId="176FE5C6" w14:textId="7FC25B7D" w:rsidR="00535D4C" w:rsidRPr="006B3E61" w:rsidRDefault="009B0D2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Underground </w:t>
            </w:r>
            <w:r w:rsidR="00506473">
              <w:rPr>
                <w:rFonts w:asciiTheme="minorHAnsi" w:hAnsiTheme="minorHAnsi" w:cstheme="minorHAnsi"/>
                <w:color w:val="auto"/>
                <w:sz w:val="24"/>
                <w:szCs w:val="24"/>
              </w:rPr>
              <w:t>mining</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lithium and boron deposit Jadar.</w:t>
            </w:r>
          </w:p>
          <w:p w14:paraId="14A01051" w14:textId="522CB02F" w:rsidR="002E71F2" w:rsidRPr="006B3E61" w:rsidRDefault="002E71F2">
            <w:pPr>
              <w:pStyle w:val="Other0"/>
              <w:spacing w:after="0"/>
              <w:rPr>
                <w:rFonts w:asciiTheme="minorHAnsi" w:hAnsiTheme="minorHAnsi" w:cstheme="minorHAnsi"/>
                <w:color w:val="auto"/>
                <w:sz w:val="24"/>
                <w:szCs w:val="24"/>
                <w:lang w:val="sr-Latn-RS"/>
              </w:rPr>
            </w:pPr>
          </w:p>
        </w:tc>
      </w:tr>
      <w:tr w:rsidR="00A7561A" w:rsidRPr="006B3E61" w14:paraId="17381798"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vAlign w:val="center"/>
          </w:tcPr>
          <w:p w14:paraId="0A253083" w14:textId="77777777" w:rsidR="00E6406C" w:rsidRDefault="00A240B3">
            <w:pPr>
              <w:pStyle w:val="Other0"/>
              <w:spacing w:after="0"/>
              <w:rPr>
                <w:rFonts w:asciiTheme="minorHAnsi" w:eastAsia="Times New Roman"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Is the proposed activity listed in appendix I to the Convention?</w:t>
            </w:r>
          </w:p>
          <w:p w14:paraId="713EF489" w14:textId="0E55BC4B" w:rsidR="00535D4C" w:rsidRPr="006B3E61" w:rsidRDefault="00A240B3">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YES</w:t>
            </w:r>
          </w:p>
        </w:tc>
      </w:tr>
      <w:tr w:rsidR="00A7561A" w:rsidRPr="006B3E61" w14:paraId="5330C123"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5DEDE461" w14:textId="40F54D7D" w:rsidR="00535D4C" w:rsidRPr="006B3E61" w:rsidRDefault="00A240B3" w:rsidP="00FB0B22">
            <w:pPr>
              <w:pStyle w:val="Oth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Scope of proposed activity (e.g., main activity and any/all peripheral activities requiring assessment)</w:t>
            </w:r>
          </w:p>
          <w:p w14:paraId="1DAA8EB3" w14:textId="44BB552A" w:rsidR="00A7561A" w:rsidRPr="006B3E61" w:rsidRDefault="00A7561A" w:rsidP="005860C2">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color w:val="auto"/>
                <w:sz w:val="24"/>
                <w:szCs w:val="24"/>
              </w:rPr>
              <w:t xml:space="preserve">Scope of activities envisaged by the relevant project includes: </w:t>
            </w:r>
          </w:p>
          <w:p w14:paraId="106C94EF" w14:textId="5E3CC5F7" w:rsidR="00AB3399" w:rsidRPr="006B3E61" w:rsidRDefault="00AB3399"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Underground </w:t>
            </w:r>
            <w:r w:rsidR="00506473">
              <w:rPr>
                <w:rFonts w:asciiTheme="minorHAnsi" w:hAnsiTheme="minorHAnsi" w:cstheme="minorHAnsi"/>
                <w:color w:val="auto"/>
                <w:sz w:val="24"/>
                <w:szCs w:val="24"/>
              </w:rPr>
              <w:t>mining</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mineral resources</w:t>
            </w:r>
          </w:p>
          <w:p w14:paraId="18012A11" w14:textId="5C8382CC" w:rsidR="00AB3399" w:rsidRPr="006B3E61" w:rsidRDefault="00506473"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Ore mineral processing</w:t>
            </w:r>
            <w:r w:rsidR="00A04F32" w:rsidRPr="006B3E61">
              <w:rPr>
                <w:rFonts w:asciiTheme="minorHAnsi" w:hAnsiTheme="minorHAnsi" w:cstheme="minorHAnsi"/>
                <w:color w:val="auto"/>
                <w:sz w:val="24"/>
                <w:szCs w:val="24"/>
              </w:rPr>
              <w:t xml:space="preserve"> for chemical treatment</w:t>
            </w:r>
          </w:p>
          <w:p w14:paraId="24827D17" w14:textId="3C3DC5CB" w:rsidR="00A04F32" w:rsidRPr="006B3E61" w:rsidRDefault="00A04F32"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 </w:t>
            </w:r>
            <w:r w:rsidR="00506473">
              <w:rPr>
                <w:rFonts w:asciiTheme="minorHAnsi" w:hAnsiTheme="minorHAnsi" w:cstheme="minorHAnsi"/>
                <w:color w:val="auto"/>
                <w:sz w:val="24"/>
                <w:szCs w:val="24"/>
              </w:rPr>
              <w:t>waste</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disposal</w:t>
            </w:r>
          </w:p>
          <w:p w14:paraId="303A99F3" w14:textId="7EB9343A" w:rsidR="005860C2" w:rsidRPr="006B3E61" w:rsidRDefault="005860C2" w:rsidP="005860C2">
            <w:pPr>
              <w:pStyle w:val="Other0"/>
              <w:tabs>
                <w:tab w:val="left" w:pos="815"/>
              </w:tabs>
              <w:spacing w:after="0"/>
              <w:rPr>
                <w:rFonts w:asciiTheme="minorHAnsi" w:hAnsiTheme="minorHAnsi" w:cstheme="minorHAnsi"/>
                <w:color w:val="auto"/>
                <w:sz w:val="24"/>
                <w:szCs w:val="24"/>
                <w:lang w:val="sr-Latn-RS"/>
              </w:rPr>
            </w:pPr>
          </w:p>
        </w:tc>
      </w:tr>
      <w:tr w:rsidR="00A7561A" w:rsidRPr="006B3E61" w14:paraId="5C16A84D"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106E4EF5" w14:textId="77777777" w:rsidR="00535D4C" w:rsidRPr="006B3E61" w:rsidRDefault="00A240B3" w:rsidP="0080660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Scale of proposed activity:</w:t>
            </w:r>
          </w:p>
          <w:p w14:paraId="0E04965A" w14:textId="77777777" w:rsidR="0080660A" w:rsidRPr="006B3E61" w:rsidRDefault="005860C2" w:rsidP="00B617C3">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exploitation reserves of Category B and C1, in the part of the Jadar deposit relevant for underground exploitation, have been estimated to amount to 147 Mt. The planned annual exploitation capacity is approximately 1.6 Mt/year.</w:t>
            </w:r>
          </w:p>
          <w:p w14:paraId="72D7CE6A" w14:textId="49FD1B13" w:rsidR="00B617C3" w:rsidRPr="006B3E61" w:rsidRDefault="00B617C3" w:rsidP="00B617C3">
            <w:pPr>
              <w:pStyle w:val="Other0"/>
              <w:spacing w:after="0"/>
              <w:rPr>
                <w:rFonts w:asciiTheme="minorHAnsi" w:hAnsiTheme="minorHAnsi" w:cstheme="minorHAnsi"/>
                <w:color w:val="auto"/>
                <w:sz w:val="24"/>
                <w:szCs w:val="24"/>
                <w:lang w:val="sr-Latn-RS"/>
              </w:rPr>
            </w:pPr>
          </w:p>
        </w:tc>
      </w:tr>
      <w:tr w:rsidR="00A7561A" w:rsidRPr="006B3E61" w14:paraId="7CD314A3"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6C436C1C" w14:textId="6B58CD3A" w:rsidR="00535D4C" w:rsidRPr="006B3E61" w:rsidRDefault="00A240B3" w:rsidP="00451D32">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proposed activity (e.g. technology used):</w:t>
            </w:r>
          </w:p>
          <w:p w14:paraId="3DD68A32" w14:textId="28D9D5FD" w:rsidR="00320F45"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Mine</w:t>
            </w:r>
            <w:r w:rsidRPr="006B3E61">
              <w:rPr>
                <w:rFonts w:asciiTheme="minorHAnsi" w:hAnsiTheme="minorHAnsi" w:cstheme="minorHAnsi"/>
                <w:color w:val="auto"/>
                <w:sz w:val="24"/>
                <w:szCs w:val="24"/>
              </w:rPr>
              <w:t xml:space="preserve"> </w:t>
            </w:r>
            <w:r w:rsidR="009A49C4" w:rsidRPr="006B3E61">
              <w:rPr>
                <w:rFonts w:asciiTheme="minorHAnsi" w:hAnsiTheme="minorHAnsi" w:cstheme="minorHAnsi"/>
                <w:color w:val="auto"/>
                <w:sz w:val="24"/>
                <w:szCs w:val="24"/>
              </w:rPr>
              <w:t>opening with two shafts;</w:t>
            </w:r>
          </w:p>
          <w:p w14:paraId="39D56E78" w14:textId="183C1E36" w:rsidR="009A49C4"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Mine</w:t>
            </w:r>
            <w:r w:rsidRPr="006B3E61">
              <w:rPr>
                <w:rFonts w:asciiTheme="minorHAnsi" w:hAnsiTheme="minorHAnsi" w:cstheme="minorHAnsi"/>
                <w:color w:val="auto"/>
                <w:sz w:val="24"/>
                <w:szCs w:val="24"/>
              </w:rPr>
              <w:t xml:space="preserve"> </w:t>
            </w:r>
            <w:r>
              <w:rPr>
                <w:rFonts w:asciiTheme="minorHAnsi" w:hAnsiTheme="minorHAnsi" w:cstheme="minorHAnsi"/>
                <w:color w:val="auto"/>
                <w:sz w:val="24"/>
                <w:szCs w:val="24"/>
              </w:rPr>
              <w:t>development</w:t>
            </w:r>
            <w:r w:rsidR="009A49C4" w:rsidRPr="006B3E61">
              <w:rPr>
                <w:rFonts w:asciiTheme="minorHAnsi" w:hAnsiTheme="minorHAnsi" w:cstheme="minorHAnsi"/>
                <w:color w:val="auto"/>
                <w:sz w:val="24"/>
                <w:szCs w:val="24"/>
              </w:rPr>
              <w:t xml:space="preserve"> by horizontal, inclined and vertical mine </w:t>
            </w:r>
            <w:r w:rsidR="00B31B03">
              <w:rPr>
                <w:rFonts w:asciiTheme="minorHAnsi" w:hAnsiTheme="minorHAnsi" w:cstheme="minorHAnsi"/>
                <w:color w:val="auto"/>
                <w:sz w:val="24"/>
                <w:szCs w:val="24"/>
              </w:rPr>
              <w:t>roadways</w:t>
            </w:r>
            <w:r w:rsidR="009A49C4" w:rsidRPr="006B3E61">
              <w:rPr>
                <w:rFonts w:asciiTheme="minorHAnsi" w:hAnsiTheme="minorHAnsi" w:cstheme="minorHAnsi"/>
                <w:color w:val="auto"/>
                <w:sz w:val="24"/>
                <w:szCs w:val="24"/>
              </w:rPr>
              <w:t>;</w:t>
            </w:r>
          </w:p>
          <w:p w14:paraId="12DDDB4C" w14:textId="6D581A60" w:rsidR="00320F45"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Ore</w:t>
            </w:r>
            <w:r w:rsidR="00B31B03">
              <w:rPr>
                <w:rFonts w:asciiTheme="minorHAnsi" w:hAnsiTheme="minorHAnsi" w:cstheme="minorHAnsi"/>
                <w:color w:val="auto"/>
                <w:sz w:val="24"/>
                <w:szCs w:val="24"/>
              </w:rPr>
              <w:t xml:space="preserve"> mining</w:t>
            </w:r>
            <w:r w:rsidR="00320F45" w:rsidRPr="006B3E61">
              <w:rPr>
                <w:rFonts w:asciiTheme="minorHAnsi" w:hAnsiTheme="minorHAnsi" w:cstheme="minorHAnsi"/>
                <w:color w:val="auto"/>
                <w:sz w:val="24"/>
                <w:szCs w:val="24"/>
              </w:rPr>
              <w:t xml:space="preserve"> by </w:t>
            </w:r>
            <w:r w:rsidR="00B31B03">
              <w:rPr>
                <w:rFonts w:asciiTheme="minorHAnsi" w:hAnsiTheme="minorHAnsi" w:cstheme="minorHAnsi"/>
                <w:color w:val="auto"/>
                <w:sz w:val="24"/>
                <w:szCs w:val="24"/>
              </w:rPr>
              <w:t xml:space="preserve">with various </w:t>
            </w:r>
            <w:r w:rsidR="00320F45" w:rsidRPr="006B3E61">
              <w:rPr>
                <w:rFonts w:asciiTheme="minorHAnsi" w:hAnsiTheme="minorHAnsi" w:cstheme="minorHAnsi"/>
                <w:color w:val="auto"/>
                <w:sz w:val="24"/>
                <w:szCs w:val="24"/>
              </w:rPr>
              <w:t xml:space="preserve"> underground </w:t>
            </w:r>
            <w:r w:rsidR="00B31B03">
              <w:rPr>
                <w:rFonts w:asciiTheme="minorHAnsi" w:hAnsiTheme="minorHAnsi" w:cstheme="minorHAnsi"/>
                <w:color w:val="auto"/>
                <w:sz w:val="24"/>
                <w:szCs w:val="24"/>
              </w:rPr>
              <w:t>mining</w:t>
            </w:r>
            <w:r w:rsidR="00320F45" w:rsidRPr="006B3E61">
              <w:rPr>
                <w:rFonts w:asciiTheme="minorHAnsi" w:hAnsiTheme="minorHAnsi" w:cstheme="minorHAnsi"/>
                <w:color w:val="auto"/>
                <w:sz w:val="24"/>
                <w:szCs w:val="24"/>
              </w:rPr>
              <w:t xml:space="preserve"> methods including backfilling of the excavated area;</w:t>
            </w:r>
          </w:p>
          <w:p w14:paraId="7D912153" w14:textId="67F8C81D" w:rsidR="002A32B3" w:rsidRPr="006B3E61" w:rsidRDefault="00B31B0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Hoisting</w:t>
            </w:r>
            <w:r w:rsidRPr="006B3E61">
              <w:rPr>
                <w:rFonts w:asciiTheme="minorHAnsi" w:hAnsiTheme="minorHAnsi" w:cstheme="minorHAnsi"/>
                <w:color w:val="auto"/>
                <w:sz w:val="24"/>
                <w:szCs w:val="24"/>
              </w:rPr>
              <w:t xml:space="preserve"> </w:t>
            </w:r>
            <w:r w:rsidR="002A32B3" w:rsidRPr="006B3E61">
              <w:rPr>
                <w:rFonts w:asciiTheme="minorHAnsi" w:hAnsiTheme="minorHAnsi" w:cstheme="minorHAnsi"/>
                <w:color w:val="auto"/>
                <w:sz w:val="24"/>
                <w:szCs w:val="24"/>
              </w:rPr>
              <w:t>of ore to the surface;</w:t>
            </w:r>
          </w:p>
          <w:p w14:paraId="105F1958" w14:textId="649DB4D3" w:rsidR="002002F2" w:rsidRPr="006B3E61" w:rsidRDefault="002002F2" w:rsidP="001D24CA">
            <w:pPr>
              <w:pStyle w:val="Other0"/>
              <w:numPr>
                <w:ilvl w:val="0"/>
                <w:numId w:val="3"/>
              </w:numPr>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Ventilation of underground </w:t>
            </w:r>
            <w:r w:rsidR="00B31B03">
              <w:rPr>
                <w:rFonts w:asciiTheme="minorHAnsi" w:hAnsiTheme="minorHAnsi" w:cstheme="minorHAnsi"/>
                <w:color w:val="auto"/>
                <w:sz w:val="24"/>
                <w:szCs w:val="24"/>
              </w:rPr>
              <w:t>roadways</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with</w:t>
            </w:r>
            <w:r w:rsidR="00B31B0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the main</w:t>
            </w:r>
            <w:r w:rsidR="00CE1C59">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fan</w:t>
            </w:r>
            <w:r w:rsidR="00CE1C59">
              <w:rPr>
                <w:rFonts w:asciiTheme="minorHAnsi" w:hAnsiTheme="minorHAnsi" w:cstheme="minorHAnsi"/>
                <w:color w:val="auto"/>
                <w:sz w:val="24"/>
                <w:szCs w:val="24"/>
              </w:rPr>
              <w:t xml:space="preserve"> exhaust</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 xml:space="preserve">ventilation </w:t>
            </w:r>
            <w:r w:rsidRPr="006B3E61">
              <w:rPr>
                <w:rFonts w:asciiTheme="minorHAnsi" w:hAnsiTheme="minorHAnsi" w:cstheme="minorHAnsi"/>
                <w:color w:val="auto"/>
                <w:sz w:val="24"/>
                <w:szCs w:val="24"/>
              </w:rPr>
              <w:t>system</w:t>
            </w:r>
            <w:r w:rsidR="00CE1C59">
              <w:rPr>
                <w:rFonts w:asciiTheme="minorHAnsi" w:hAnsiTheme="minorHAnsi" w:cstheme="minorHAnsi"/>
                <w:color w:val="auto"/>
                <w:sz w:val="24"/>
                <w:szCs w:val="24"/>
              </w:rPr>
              <w:t xml:space="preserve"> and</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 xml:space="preserve">auxiliary </w:t>
            </w:r>
            <w:r w:rsidRPr="006B3E61">
              <w:rPr>
                <w:rFonts w:asciiTheme="minorHAnsi" w:hAnsiTheme="minorHAnsi" w:cstheme="minorHAnsi"/>
                <w:color w:val="auto"/>
                <w:sz w:val="24"/>
                <w:szCs w:val="24"/>
              </w:rPr>
              <w:t>ventilation fans (underground);</w:t>
            </w:r>
          </w:p>
          <w:p w14:paraId="307C3ADF" w14:textId="4DD91EED" w:rsidR="004D56C7" w:rsidRPr="006B3E61" w:rsidRDefault="00CE1C59"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Dewatering</w:t>
            </w:r>
            <w:r w:rsidRPr="006B3E61">
              <w:rPr>
                <w:rFonts w:asciiTheme="minorHAnsi" w:hAnsiTheme="minorHAnsi" w:cstheme="minorHAnsi"/>
                <w:color w:val="auto"/>
                <w:sz w:val="24"/>
                <w:szCs w:val="24"/>
              </w:rPr>
              <w:t xml:space="preserve"> </w:t>
            </w:r>
            <w:r w:rsidR="004D56C7" w:rsidRPr="006B3E61">
              <w:rPr>
                <w:rFonts w:asciiTheme="minorHAnsi" w:hAnsiTheme="minorHAnsi" w:cstheme="minorHAnsi"/>
                <w:color w:val="auto"/>
                <w:sz w:val="24"/>
                <w:szCs w:val="24"/>
              </w:rPr>
              <w:t xml:space="preserve">of underground </w:t>
            </w:r>
            <w:r>
              <w:rPr>
                <w:rFonts w:asciiTheme="minorHAnsi" w:hAnsiTheme="minorHAnsi" w:cstheme="minorHAnsi"/>
                <w:color w:val="auto"/>
                <w:sz w:val="24"/>
                <w:szCs w:val="24"/>
              </w:rPr>
              <w:t>workings</w:t>
            </w:r>
            <w:r w:rsidR="004D56C7" w:rsidRPr="006B3E61">
              <w:rPr>
                <w:rFonts w:asciiTheme="minorHAnsi" w:hAnsiTheme="minorHAnsi" w:cstheme="minorHAnsi"/>
                <w:color w:val="auto"/>
                <w:sz w:val="24"/>
                <w:szCs w:val="24"/>
              </w:rPr>
              <w:t>;</w:t>
            </w:r>
          </w:p>
          <w:p w14:paraId="26FC1B11" w14:textId="79653ADE" w:rsidR="00446AB0" w:rsidRPr="006B3E61" w:rsidRDefault="00446AB0" w:rsidP="001D24CA">
            <w:pPr>
              <w:pStyle w:val="Other0"/>
              <w:numPr>
                <w:ilvl w:val="0"/>
                <w:numId w:val="3"/>
              </w:numPr>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Mineral </w:t>
            </w:r>
            <w:r w:rsidR="00CE1C59">
              <w:rPr>
                <w:rFonts w:asciiTheme="minorHAnsi" w:hAnsiTheme="minorHAnsi" w:cstheme="minorHAnsi"/>
                <w:color w:val="auto"/>
                <w:sz w:val="24"/>
                <w:szCs w:val="24"/>
              </w:rPr>
              <w:t>processing</w:t>
            </w:r>
            <w:r w:rsidRPr="006B3E61">
              <w:rPr>
                <w:rFonts w:asciiTheme="minorHAnsi" w:hAnsiTheme="minorHAnsi" w:cstheme="minorHAnsi"/>
                <w:color w:val="auto"/>
                <w:sz w:val="24"/>
                <w:szCs w:val="24"/>
              </w:rPr>
              <w:t xml:space="preserve"> for chemical treatment –beneficiation;</w:t>
            </w:r>
          </w:p>
          <w:p w14:paraId="495FD74A" w14:textId="3B90610B" w:rsidR="00446AB0" w:rsidRPr="006B3E61" w:rsidRDefault="00446AB0" w:rsidP="00D54C02">
            <w:pPr>
              <w:pStyle w:val="Other0"/>
              <w:numPr>
                <w:ilvl w:val="0"/>
                <w:numId w:val="3"/>
              </w:numPr>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 </w:t>
            </w:r>
            <w:r w:rsidR="00CE1C59">
              <w:rPr>
                <w:rFonts w:asciiTheme="minorHAnsi" w:hAnsiTheme="minorHAnsi" w:cstheme="minorHAnsi"/>
                <w:color w:val="auto"/>
                <w:sz w:val="24"/>
                <w:szCs w:val="24"/>
              </w:rPr>
              <w:t>waste</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disposal.</w:t>
            </w:r>
          </w:p>
        </w:tc>
      </w:tr>
      <w:tr w:rsidR="00A7561A" w:rsidRPr="006B3E61" w14:paraId="056C2638"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48CB9A7D" w14:textId="77777777" w:rsidR="00535D4C" w:rsidRPr="006B3E61" w:rsidRDefault="00A240B3" w:rsidP="00451D32">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purpose of proposed activity:</w:t>
            </w:r>
          </w:p>
          <w:p w14:paraId="45F28F31" w14:textId="22158C95" w:rsidR="006237A5" w:rsidRPr="006B3E61" w:rsidRDefault="006B684D" w:rsidP="001D24CA">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These activities should ensure opening, </w:t>
            </w:r>
            <w:r w:rsidR="00CE1C59">
              <w:rPr>
                <w:rFonts w:asciiTheme="minorHAnsi" w:hAnsiTheme="minorHAnsi" w:cstheme="minorHAnsi"/>
                <w:color w:val="auto"/>
                <w:sz w:val="24"/>
                <w:szCs w:val="24"/>
              </w:rPr>
              <w:t>development</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 xml:space="preserve">and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the lithium and boron deposit and beneficiation for further chemical treatment.</w:t>
            </w:r>
          </w:p>
        </w:tc>
      </w:tr>
      <w:tr w:rsidR="00A7561A" w:rsidRPr="006B3E61" w14:paraId="5AE0BF15"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1D62C55C" w14:textId="77777777" w:rsidR="00BE6839" w:rsidRPr="006B3E61" w:rsidRDefault="00BE6839" w:rsidP="00BE6839">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Rationale for proposed activity (e.g. socio-economic basis, physical geographic basis):</w:t>
            </w:r>
          </w:p>
          <w:p w14:paraId="13245351" w14:textId="3C88F4A5" w:rsidR="00BE6839" w:rsidRPr="006B3E61" w:rsidRDefault="00BE6839" w:rsidP="00BE6839">
            <w:pPr>
              <w:pStyle w:val="Other0"/>
              <w:spacing w:after="120"/>
              <w:jc w:val="both"/>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available industry resources suggest a complete switch to Li-ion batteries. Governments in many countries are already encouraging market development by providing subsidies for the purchase of EVs/PHEVs/Evs vehicles and setting strict CO</w:t>
            </w:r>
            <w:r w:rsidRPr="006B3E61">
              <w:rPr>
                <w:rFonts w:asciiTheme="minorHAnsi" w:hAnsiTheme="minorHAnsi" w:cstheme="minorHAnsi"/>
                <w:color w:val="auto"/>
                <w:sz w:val="24"/>
                <w:szCs w:val="24"/>
                <w:vertAlign w:val="subscript"/>
              </w:rPr>
              <w:t>2</w:t>
            </w:r>
            <w:r w:rsidRPr="006B3E61">
              <w:rPr>
                <w:rFonts w:asciiTheme="minorHAnsi" w:hAnsiTheme="minorHAnsi" w:cstheme="minorHAnsi"/>
                <w:color w:val="auto"/>
                <w:sz w:val="24"/>
                <w:szCs w:val="24"/>
              </w:rPr>
              <w:t xml:space="preserve"> emission limits for car manufacturers. It is predicted that the demand for Li-ion batteries (in the period from 2017-2030) will be growing at an annual rate of approximately 16%. Almost all electrical devices use lithium-ion batteries, and about thirty percent of the production of this metal is used for manufacturing battery cathodes.</w:t>
            </w:r>
          </w:p>
          <w:p w14:paraId="1EAFD73B" w14:textId="090755FE" w:rsidR="00BE6839" w:rsidRPr="006B3E61" w:rsidRDefault="00BE6839" w:rsidP="00BE6839">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lastRenderedPageBreak/>
              <w:t>The global demand for boric acid (in 2016) is estimated at about 1.3 million tons of boric acid (H</w:t>
            </w:r>
            <w:r w:rsidRPr="006B3E61">
              <w:rPr>
                <w:rFonts w:asciiTheme="minorHAnsi" w:hAnsiTheme="minorHAnsi" w:cstheme="minorHAnsi"/>
                <w:color w:val="auto"/>
                <w:sz w:val="24"/>
                <w:szCs w:val="24"/>
                <w:vertAlign w:val="subscript"/>
              </w:rPr>
              <w:t>3</w:t>
            </w:r>
            <w:r w:rsidRPr="006B3E61">
              <w:rPr>
                <w:rFonts w:asciiTheme="minorHAnsi" w:hAnsiTheme="minorHAnsi" w:cstheme="minorHAnsi"/>
                <w:color w:val="auto"/>
                <w:sz w:val="24"/>
                <w:szCs w:val="24"/>
              </w:rPr>
              <w:t>BO</w:t>
            </w:r>
            <w:r w:rsidRPr="006B3E61">
              <w:rPr>
                <w:rFonts w:asciiTheme="minorHAnsi" w:hAnsiTheme="minorHAnsi" w:cstheme="minorHAnsi"/>
                <w:color w:val="auto"/>
                <w:sz w:val="24"/>
                <w:szCs w:val="24"/>
                <w:vertAlign w:val="subscript"/>
              </w:rPr>
              <w:t>3</w:t>
            </w:r>
            <w:r w:rsidRPr="006B3E61">
              <w:rPr>
                <w:rFonts w:asciiTheme="minorHAnsi" w:hAnsiTheme="minorHAnsi" w:cstheme="minorHAnsi"/>
                <w:color w:val="auto"/>
                <w:sz w:val="24"/>
                <w:szCs w:val="24"/>
              </w:rPr>
              <w:t>). It is estimated that the borate demand in the primary areas of application, such as insulation, glass and ceramics, will hold the largest part of the global borate demand in the foreseeable future. A strong growth in the demand for application in TFT – LCD technologies is also expected.</w:t>
            </w:r>
          </w:p>
        </w:tc>
      </w:tr>
      <w:tr w:rsidR="00A7561A" w:rsidRPr="006B3E61" w14:paraId="630F9F8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18805B" w14:textId="4B010032" w:rsidR="00644DA6" w:rsidRPr="006B3E61" w:rsidRDefault="00A240B3">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Additional information/comments:</w:t>
            </w:r>
          </w:p>
          <w:p w14:paraId="493DCDDE" w14:textId="2180D527" w:rsidR="00535D4C" w:rsidRPr="006B3E61" w:rsidRDefault="00535D4C" w:rsidP="002843D8">
            <w:pPr>
              <w:pStyle w:val="Other0"/>
              <w:spacing w:after="0"/>
              <w:rPr>
                <w:rFonts w:asciiTheme="minorHAnsi" w:hAnsiTheme="minorHAnsi" w:cstheme="minorHAnsi"/>
                <w:color w:val="auto"/>
                <w:sz w:val="24"/>
                <w:szCs w:val="24"/>
                <w:lang w:val="sr-Latn-RS"/>
              </w:rPr>
            </w:pPr>
          </w:p>
        </w:tc>
      </w:tr>
      <w:tr w:rsidR="00D66282" w:rsidRPr="006B3E61" w14:paraId="05205822"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9B9E99" w14:textId="7E730310" w:rsidR="00644DA6" w:rsidRPr="006B3E61" w:rsidRDefault="00644DA6" w:rsidP="00644DA6">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(ii) Information on the spatial and temporal boundaries of the proposed activity</w:t>
            </w:r>
          </w:p>
        </w:tc>
      </w:tr>
      <w:tr w:rsidR="00644DA6" w:rsidRPr="006B3E61" w14:paraId="597F7C2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4985A2"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Location:</w:t>
            </w:r>
          </w:p>
          <w:p w14:paraId="25FF9839" w14:textId="2898656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The Jadar deposit site, i.e the exploration area where the deposit has been discovered, is situated 15 km east of Loznica (150 km from Belgrade), on both sides of the Jadar River, between the slopes of the mountains of Iverak and Cer in the northeast, and Kostajnica and Bobija in the southwest. In terms of administration, the exploration area belongs to the territory of the Town of Loznica. It includes the areas of the villages of Gornje Nedeljice, Brezjak, Slatina and Draginac. The town of Loznica is situated in the immediate vicinity of the state border with Bosnia and Herzegovina, at the foot of the mountain Gučevo, at 142 meters of altitude.</w:t>
            </w:r>
          </w:p>
        </w:tc>
      </w:tr>
      <w:tr w:rsidR="00644DA6" w:rsidRPr="006B3E61" w14:paraId="4E9552B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76FA2E" w14:textId="77777777" w:rsidR="00644DA6" w:rsidRPr="006B3E61" w:rsidRDefault="00644DA6" w:rsidP="006B3E61">
            <w:pPr>
              <w:pStyle w:val="Other0"/>
              <w:spacing w:aft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the location:</w:t>
            </w:r>
          </w:p>
          <w:p w14:paraId="6468A7C7" w14:textId="77777777" w:rsidR="00644DA6" w:rsidRPr="006B3E61" w:rsidRDefault="00644DA6" w:rsidP="006B3E61">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terms of microlocation, the immediate area of the complex of the planned Project and its surroundings can be geographically described as follows:</w:t>
            </w:r>
          </w:p>
          <w:p w14:paraId="1DF95AE1" w14:textId="5B31578F"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the north: the Korenita River, a local asphalt road which simultaneously represents the border of the Cadastral Municipalities of Gornje Nedeljice and Donje Nedeljice, and also the arable agricultural land,</w:t>
            </w:r>
          </w:p>
          <w:p w14:paraId="02203E90" w14:textId="27964A68"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the east: Korenita River, a local asphalt road, a forest area and arable agricultural land. The village of Draginac is situated about 4 km east, southeast.</w:t>
            </w:r>
          </w:p>
          <w:p w14:paraId="2A0CBF1B" w14:textId="10773272"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the south: several smaller residential areas belonging to the cadastral municipality of Slatina are located next to southern border of the future complex, arable agricultural land, forest land, the Korenita River. The Loznica-Valjevo regional road also goes through the south side of the future complex.</w:t>
            </w:r>
          </w:p>
          <w:p w14:paraId="460C2968" w14:textId="4597B6C2"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the west: a populated zone (the villages of Gornje Nedeljice and Brezjak) stretches along the entire western border of the future complex. The distance of the nearest households ranges between 10 - 20 m from the complex borders in the in the southwestern part, and 100 - 150 m in the western and northwestern part. </w:t>
            </w:r>
          </w:p>
          <w:p w14:paraId="433B2208" w14:textId="77777777" w:rsidR="00644DA6" w:rsidRPr="006B3E61" w:rsidRDefault="00644DA6" w:rsidP="006B3E61">
            <w:pPr>
              <w:pStyle w:val="Other0"/>
              <w:spacing w:after="0"/>
              <w:rPr>
                <w:rFonts w:asciiTheme="minorHAnsi" w:eastAsia="Times New Roman" w:hAnsiTheme="minorHAnsi" w:cstheme="minorHAnsi"/>
                <w:b/>
                <w:bCs/>
                <w:color w:val="auto"/>
                <w:sz w:val="24"/>
                <w:szCs w:val="24"/>
                <w:lang w:val="sr-Latn-RS"/>
              </w:rPr>
            </w:pPr>
          </w:p>
        </w:tc>
      </w:tr>
      <w:tr w:rsidR="006B3E61" w:rsidRPr="006B3E61" w14:paraId="4A32CF3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9D46E8"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Rationale for location of proposed activity:</w:t>
            </w:r>
          </w:p>
          <w:p w14:paraId="7060CBA1" w14:textId="462AFB72" w:rsidR="00644DA6" w:rsidRPr="006B3E61" w:rsidRDefault="00644DA6" w:rsidP="006B3E61">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The location of the future project of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lithium and boron deposit Jadar is contingent on the deposit location.</w:t>
            </w:r>
          </w:p>
          <w:p w14:paraId="360DCB08" w14:textId="0E4E640C" w:rsidR="006B3E61" w:rsidRPr="006B3E61" w:rsidRDefault="006B3E61" w:rsidP="006B3E61">
            <w:pPr>
              <w:pStyle w:val="Other0"/>
              <w:spacing w:after="0"/>
              <w:rPr>
                <w:rFonts w:asciiTheme="minorHAnsi" w:hAnsiTheme="minorHAnsi" w:cstheme="minorHAnsi"/>
                <w:color w:val="auto"/>
                <w:sz w:val="24"/>
                <w:szCs w:val="24"/>
                <w:lang w:val="sr-Latn-RS"/>
              </w:rPr>
            </w:pPr>
          </w:p>
        </w:tc>
      </w:tr>
      <w:tr w:rsidR="00644DA6" w:rsidRPr="006B3E61" w14:paraId="727BD7A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DBC599"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Time frame for proposed activity:</w:t>
            </w:r>
          </w:p>
          <w:p w14:paraId="6C0261FC" w14:textId="063086D4" w:rsidR="00505A99" w:rsidRPr="00505A99" w:rsidRDefault="005D4B17" w:rsidP="00505A99">
            <w:pPr>
              <w:pStyle w:val="Other0"/>
              <w:rPr>
                <w:rFonts w:asciiTheme="minorHAnsi" w:hAnsiTheme="minorHAnsi" w:cstheme="minorHAnsi"/>
                <w:color w:val="auto"/>
              </w:rPr>
            </w:pPr>
            <w:r>
              <w:rPr>
                <w:rFonts w:asciiTheme="minorHAnsi" w:hAnsiTheme="minorHAnsi" w:cstheme="minorHAnsi"/>
                <w:color w:val="auto"/>
                <w:lang w:val="en"/>
              </w:rPr>
              <w:t xml:space="preserve">3 years is the period planed for the mine opening. </w:t>
            </w:r>
            <w:r w:rsidR="00505A99" w:rsidRPr="00505A99">
              <w:rPr>
                <w:rFonts w:asciiTheme="minorHAnsi" w:hAnsiTheme="minorHAnsi" w:cstheme="minorHAnsi"/>
                <w:color w:val="auto"/>
                <w:lang w:val="en"/>
              </w:rPr>
              <w:t>After that period, the next 36 months</w:t>
            </w:r>
            <w:r w:rsidR="00905708">
              <w:rPr>
                <w:rFonts w:asciiTheme="minorHAnsi" w:hAnsiTheme="minorHAnsi" w:cstheme="minorHAnsi"/>
                <w:color w:val="auto"/>
                <w:lang w:val="en"/>
              </w:rPr>
              <w:t xml:space="preserve"> production </w:t>
            </w:r>
            <w:r w:rsidR="00505A99" w:rsidRPr="00505A99">
              <w:rPr>
                <w:rFonts w:asciiTheme="minorHAnsi" w:hAnsiTheme="minorHAnsi" w:cstheme="minorHAnsi"/>
                <w:color w:val="auto"/>
                <w:lang w:val="en"/>
              </w:rPr>
              <w:t xml:space="preserve"> will be gradually increased to full capacity, with the expected life of operation </w:t>
            </w:r>
            <w:r w:rsidR="000A6FDE">
              <w:rPr>
                <w:rFonts w:asciiTheme="minorHAnsi" w:hAnsiTheme="minorHAnsi" w:cstheme="minorHAnsi"/>
                <w:color w:val="auto"/>
                <w:lang w:val="en"/>
              </w:rPr>
              <w:t>around 7</w:t>
            </w:r>
            <w:r w:rsidR="00505A99" w:rsidRPr="00505A99">
              <w:rPr>
                <w:rFonts w:asciiTheme="minorHAnsi" w:hAnsiTheme="minorHAnsi" w:cstheme="minorHAnsi"/>
                <w:color w:val="auto"/>
                <w:lang w:val="en"/>
              </w:rPr>
              <w:t>0 years.</w:t>
            </w:r>
          </w:p>
          <w:p w14:paraId="473868FB" w14:textId="0A90B1D1" w:rsidR="00644DA6" w:rsidRPr="006B3E61" w:rsidRDefault="00644DA6" w:rsidP="00644DA6">
            <w:pPr>
              <w:pStyle w:val="Other0"/>
              <w:spacing w:after="0"/>
              <w:rPr>
                <w:rFonts w:asciiTheme="minorHAnsi" w:hAnsiTheme="minorHAnsi" w:cstheme="minorHAnsi"/>
                <w:color w:val="auto"/>
                <w:sz w:val="24"/>
                <w:szCs w:val="24"/>
                <w:lang w:val="sr-Latn-RS"/>
              </w:rPr>
            </w:pPr>
          </w:p>
          <w:p w14:paraId="274A8FD0" w14:textId="7777777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p>
        </w:tc>
      </w:tr>
      <w:tr w:rsidR="00644DA6" w:rsidRPr="006B3E61" w14:paraId="5C4C84D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203C53"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Maps and other pictorial documents connected with the information on the proposed activity:</w:t>
            </w:r>
          </w:p>
          <w:p w14:paraId="21B71F82" w14:textId="77777777" w:rsidR="00644DA6" w:rsidRPr="006B3E61" w:rsidRDefault="00644DA6" w:rsidP="00644DA6">
            <w:pPr>
              <w:pStyle w:val="Other0"/>
              <w:spacing w:after="0"/>
              <w:rPr>
                <w:rFonts w:asciiTheme="minorHAnsi" w:hAnsiTheme="minorHAnsi" w:cstheme="minorHAnsi"/>
                <w:color w:val="auto"/>
                <w:spacing w:val="-8"/>
                <w:sz w:val="24"/>
                <w:szCs w:val="24"/>
                <w:lang w:val="sr-Latn-RS"/>
              </w:rPr>
            </w:pPr>
            <w:r w:rsidRPr="006B3E61">
              <w:rPr>
                <w:rFonts w:asciiTheme="minorHAnsi" w:hAnsiTheme="minorHAnsi" w:cstheme="minorHAnsi"/>
                <w:color w:val="auto"/>
                <w:spacing w:val="-8"/>
                <w:sz w:val="24"/>
                <w:szCs w:val="24"/>
              </w:rPr>
              <w:t xml:space="preserve">The exploitation field is limited by relevant polygonal lines on the surface of the terrain, stretching to the designed exploitation depth, as shown in the Figure below. </w:t>
            </w:r>
          </w:p>
          <w:p w14:paraId="09409286" w14:textId="77777777" w:rsidR="00644DA6" w:rsidRPr="006B3E61" w:rsidRDefault="00644DA6" w:rsidP="00644DA6">
            <w:pPr>
              <w:pStyle w:val="Other0"/>
              <w:spacing w:after="0"/>
              <w:rPr>
                <w:rFonts w:asciiTheme="minorHAnsi" w:hAnsiTheme="minorHAnsi" w:cstheme="minorHAnsi"/>
                <w:color w:val="auto"/>
                <w:spacing w:val="-8"/>
                <w:sz w:val="24"/>
                <w:szCs w:val="24"/>
                <w:lang w:val="sr-Latn-RS"/>
              </w:rPr>
            </w:pPr>
          </w:p>
          <w:p w14:paraId="0D41DF6C" w14:textId="77777777" w:rsidR="00644DA6" w:rsidRPr="006B3E61" w:rsidRDefault="00644DA6" w:rsidP="006B3E61">
            <w:pPr>
              <w:pStyle w:val="Other0"/>
              <w:spacing w:after="0"/>
              <w:jc w:val="center"/>
              <w:rPr>
                <w:rFonts w:asciiTheme="minorHAnsi" w:hAnsiTheme="minorHAnsi" w:cstheme="minorHAnsi"/>
                <w:color w:val="auto"/>
                <w:spacing w:val="-8"/>
                <w:sz w:val="24"/>
                <w:szCs w:val="24"/>
                <w:lang w:val="sr-Latn-RS"/>
              </w:rPr>
            </w:pPr>
            <w:r w:rsidRPr="006B3E61">
              <w:rPr>
                <w:rFonts w:asciiTheme="minorHAnsi" w:hAnsiTheme="minorHAnsi" w:cstheme="minorHAnsi"/>
                <w:noProof/>
                <w:color w:val="auto"/>
                <w:spacing w:val="-8"/>
                <w:sz w:val="24"/>
                <w:szCs w:val="24"/>
              </w:rPr>
              <w:drawing>
                <wp:inline distT="0" distB="0" distL="0" distR="0" wp14:anchorId="29314CEE" wp14:editId="4C96746A">
                  <wp:extent cx="3740342" cy="26689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40342" cy="2668906"/>
                          </a:xfrm>
                          <a:prstGeom prst="rect">
                            <a:avLst/>
                          </a:prstGeom>
                        </pic:spPr>
                      </pic:pic>
                    </a:graphicData>
                  </a:graphic>
                </wp:inline>
              </w:drawing>
            </w:r>
          </w:p>
          <w:p w14:paraId="5934DE99" w14:textId="7777777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p>
        </w:tc>
      </w:tr>
      <w:tr w:rsidR="006B3E61" w:rsidRPr="006B3E61" w14:paraId="54FA51C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2E4D12"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2EC84B37" w14:textId="7E931621" w:rsidR="00644DA6" w:rsidRPr="006B3E61" w:rsidRDefault="00644DA6" w:rsidP="00644DA6">
            <w:pPr>
              <w:pStyle w:val="Other0"/>
              <w:spacing w:after="120"/>
              <w:rPr>
                <w:rFonts w:asciiTheme="minorHAnsi" w:eastAsia="Times New Roman" w:hAnsiTheme="minorHAnsi" w:cstheme="minorHAnsi"/>
                <w:color w:val="auto"/>
                <w:sz w:val="24"/>
                <w:szCs w:val="24"/>
                <w:lang w:val="sr-Latn-RS"/>
              </w:rPr>
            </w:pPr>
          </w:p>
        </w:tc>
      </w:tr>
      <w:tr w:rsidR="00D66282" w:rsidRPr="006B3E61" w14:paraId="1B7BD87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90AB0" w14:textId="6DE8B788" w:rsidR="00827A73" w:rsidRPr="006B3E61" w:rsidRDefault="00827A73" w:rsidP="00827A73">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(iii) Information on expected environmental impacts and proposed mitigation measures</w:t>
            </w:r>
          </w:p>
        </w:tc>
      </w:tr>
      <w:tr w:rsidR="00A7561A" w:rsidRPr="006B3E61" w14:paraId="1C25638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D5C083" w14:textId="77777777" w:rsidR="00827A73" w:rsidRPr="006B3E61" w:rsidRDefault="00827A73" w:rsidP="00827A73">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Scope of assessment (e.g. consideration of: cumulative impacts, evaluation of alternatives, sustainable development issues, impact of peripheral activities):</w:t>
            </w:r>
          </w:p>
          <w:p w14:paraId="3FD9A896" w14:textId="08D88683" w:rsidR="00EF2704" w:rsidRPr="006B3E61" w:rsidRDefault="00EF2704" w:rsidP="00EF2704">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The scope of environmental impact assessment includes consideration of the impact of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 xml:space="preserve">of mineral resources, their beneficiation for chemical treatment and disposal of mine </w:t>
            </w:r>
            <w:r w:rsidR="00CE1C59">
              <w:rPr>
                <w:rFonts w:asciiTheme="minorHAnsi" w:hAnsiTheme="minorHAnsi" w:cstheme="minorHAnsi"/>
                <w:color w:val="auto"/>
                <w:sz w:val="24"/>
                <w:szCs w:val="24"/>
              </w:rPr>
              <w:t>waste</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on all aspects of the environment (air, water, soil, community, etc.).</w:t>
            </w:r>
          </w:p>
        </w:tc>
      </w:tr>
      <w:tr w:rsidR="00A7561A" w:rsidRPr="006B3E61" w14:paraId="18AB76E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C5C525" w14:textId="77777777" w:rsidR="00DB5FAA" w:rsidRPr="006B3E61" w:rsidRDefault="00DB5FAA" w:rsidP="00DB5FAA">
            <w:pPr>
              <w:pStyle w:val="Other0"/>
              <w:spacing w:after="10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Expected environmental impacts of proposed activity (e.g. types, locations, magnitudes):</w:t>
            </w:r>
          </w:p>
          <w:p w14:paraId="7E697D5A" w14:textId="75AD17EE" w:rsidR="00A95950" w:rsidRPr="006B3E61" w:rsidRDefault="00A95950" w:rsidP="00A95950">
            <w:pPr>
              <w:pStyle w:val="BodyText"/>
              <w:spacing w:after="60"/>
              <w:rPr>
                <w:rFonts w:asciiTheme="minorHAnsi" w:hAnsiTheme="minorHAnsi" w:cstheme="minorHAnsi"/>
                <w:sz w:val="24"/>
                <w:szCs w:val="24"/>
              </w:rPr>
            </w:pPr>
            <w:r w:rsidRPr="006B3E61">
              <w:rPr>
                <w:rFonts w:asciiTheme="minorHAnsi" w:hAnsiTheme="minorHAnsi" w:cstheme="minorHAnsi"/>
                <w:sz w:val="24"/>
                <w:szCs w:val="24"/>
                <w:lang w:val="en-US" w:bidi="en-US"/>
              </w:rPr>
              <w:t xml:space="preserve">The underground mine in combination with the </w:t>
            </w:r>
            <w:r w:rsidR="00CE1C59">
              <w:rPr>
                <w:rFonts w:asciiTheme="minorHAnsi" w:hAnsiTheme="minorHAnsi" w:cstheme="minorHAnsi"/>
                <w:sz w:val="24"/>
                <w:szCs w:val="24"/>
                <w:lang w:val="en-US" w:bidi="en-US"/>
              </w:rPr>
              <w:t>belonging</w:t>
            </w:r>
            <w:r w:rsidR="00CE1C59" w:rsidRPr="006B3E61">
              <w:rPr>
                <w:rFonts w:asciiTheme="minorHAnsi" w:hAnsiTheme="minorHAnsi" w:cstheme="minorHAnsi"/>
                <w:sz w:val="24"/>
                <w:szCs w:val="24"/>
                <w:lang w:val="en-US" w:bidi="en-US"/>
              </w:rPr>
              <w:t xml:space="preserve"> </w:t>
            </w:r>
            <w:r w:rsidRPr="006B3E61">
              <w:rPr>
                <w:rFonts w:asciiTheme="minorHAnsi" w:hAnsiTheme="minorHAnsi" w:cstheme="minorHAnsi"/>
                <w:sz w:val="24"/>
                <w:szCs w:val="24"/>
                <w:lang w:val="en-US" w:bidi="en-US"/>
              </w:rPr>
              <w:t>surface infrastructure should provide the input raw material for the process plant. Even though it is an underground facility, with a considerably smaller aboveground infrastructure than the process plant, certain effects, or impacts on the environment are unavoidable. These impacts can be classified as follows:</w:t>
            </w:r>
          </w:p>
          <w:p w14:paraId="2FFAD544"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physical surroundings – soil (physiography, geology and soil), water (surface and underground resources) and air (climate, air quality and noise);</w:t>
            </w:r>
          </w:p>
          <w:p w14:paraId="44D45703"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natural surroundings – biodiversity (aquatic and terrestrial habitats), flora and fauna;</w:t>
            </w:r>
          </w:p>
          <w:p w14:paraId="211AE89B"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social and economic surroundings – the current and planned use of land and resources and related economic activities;</w:t>
            </w:r>
          </w:p>
          <w:p w14:paraId="205A45F9" w14:textId="77777777" w:rsidR="00A95950" w:rsidRPr="006B3E61" w:rsidRDefault="00A95950" w:rsidP="00A95950">
            <w:pPr>
              <w:pStyle w:val="BodyText"/>
              <w:numPr>
                <w:ilvl w:val="0"/>
                <w:numId w:val="5"/>
              </w:numPr>
              <w:spacing w:before="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cultural surroundings – archaeological, cultural and heritage features that include any site or property of historical significance that could be impacted by the physical aspect of the project.</w:t>
            </w:r>
          </w:p>
          <w:p w14:paraId="6FB54881" w14:textId="4E3C06E7" w:rsidR="00A95950" w:rsidRPr="006B3E61" w:rsidRDefault="00A95950" w:rsidP="00DB5FAA">
            <w:pPr>
              <w:pStyle w:val="Oth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lastRenderedPageBreak/>
              <w:t>The most of the possible impacts on the quality of the environment during the Project implementation will be considered in detail by the Environmental Impact Assessment Study.</w:t>
            </w:r>
          </w:p>
        </w:tc>
      </w:tr>
      <w:tr w:rsidR="00DB5FAA" w:rsidRPr="006B3E61" w14:paraId="11704D2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63B3ED"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Inputs (e.g. raw material, power sources):</w:t>
            </w:r>
          </w:p>
          <w:p w14:paraId="63FA5666"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order to implement the Jadar Project, it is planned to construct and equip power facilities necessary for the operation of jadarite mineral exploitation and processing plants and develop sites for new transformation facilities and routes of future grids, which will contribute to more secure and more cost-effective power supply.</w:t>
            </w:r>
          </w:p>
          <w:p w14:paraId="15D175F4"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electricity demand of the special purpose complex (the exploitation and processing plants) is about 45 MW (with a power factor of 0.95), with the maximum expected peak load of about 65 MVA.</w:t>
            </w:r>
          </w:p>
          <w:p w14:paraId="1FA6BE86"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construction of the gas pipeline network is one of the main planning solutions for the implementation of the Jadar project. The gas pipeline construction will provide safe and reliable gas supply for the ore exploitation and processing plants. The planning solution was developed considering the needs for the project implementation, taking into account the existing and planned facilities and the protection of the planned gas pipeline corridor.</w:t>
            </w:r>
          </w:p>
          <w:p w14:paraId="5AE7ECF3"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It is planned to construct a side interconnecting steel gas pipeline with a pressure of up to 50 bar. The pipeline route is planned as an underground route along the entire route. The total length of the planned interconnecting steel gas pipeline is about 8.6 km. The diameter of the gas pipeline is Ø168.3 mm.</w:t>
            </w:r>
          </w:p>
          <w:p w14:paraId="025BA908" w14:textId="51943CFA" w:rsidR="00DB5FAA" w:rsidRPr="006B3E61" w:rsidRDefault="00DA2B13" w:rsidP="00DB5FAA">
            <w:pPr>
              <w:pStyle w:val="Other0"/>
              <w:rPr>
                <w:rFonts w:asciiTheme="minorHAnsi" w:eastAsia="Times New Roman" w:hAnsiTheme="minorHAnsi" w:cstheme="minorHAnsi"/>
                <w:b/>
                <w:bCs/>
                <w:color w:val="auto"/>
                <w:sz w:val="24"/>
                <w:szCs w:val="24"/>
                <w:lang w:val="sr-Latn-RS"/>
              </w:rPr>
            </w:pPr>
            <w:r>
              <w:rPr>
                <w:rFonts w:asciiTheme="minorHAnsi" w:hAnsiTheme="minorHAnsi" w:cstheme="minorHAnsi"/>
                <w:color w:val="auto"/>
                <w:sz w:val="24"/>
                <w:szCs w:val="24"/>
              </w:rPr>
              <w:t>Technical w</w:t>
            </w:r>
            <w:r w:rsidR="00B47F25">
              <w:rPr>
                <w:rFonts w:asciiTheme="minorHAnsi" w:hAnsiTheme="minorHAnsi" w:cstheme="minorHAnsi"/>
                <w:color w:val="auto"/>
                <w:sz w:val="24"/>
                <w:szCs w:val="24"/>
              </w:rPr>
              <w:t>ater supply</w:t>
            </w:r>
            <w:r>
              <w:rPr>
                <w:rFonts w:asciiTheme="minorHAnsi" w:hAnsiTheme="minorHAnsi" w:cstheme="minorHAnsi"/>
                <w:color w:val="auto"/>
                <w:sz w:val="24"/>
                <w:szCs w:val="24"/>
              </w:rPr>
              <w:t xml:space="preserve"> will be sourced from the Drina alluvium</w:t>
            </w:r>
            <w:r w:rsidR="0011267D">
              <w:rPr>
                <w:rFonts w:asciiTheme="minorHAnsi" w:hAnsiTheme="minorHAnsi" w:cstheme="minorHAnsi"/>
                <w:color w:val="auto"/>
                <w:sz w:val="24"/>
                <w:szCs w:val="24"/>
              </w:rPr>
              <w:t>. F</w:t>
            </w:r>
            <w:r w:rsidR="002F08D5">
              <w:rPr>
                <w:rFonts w:asciiTheme="minorHAnsi" w:hAnsiTheme="minorHAnsi" w:cstheme="minorHAnsi"/>
                <w:color w:val="auto"/>
                <w:sz w:val="24"/>
                <w:szCs w:val="24"/>
              </w:rPr>
              <w:t xml:space="preserve">rom </w:t>
            </w:r>
            <w:r>
              <w:rPr>
                <w:rFonts w:asciiTheme="minorHAnsi" w:hAnsiTheme="minorHAnsi" w:cstheme="minorHAnsi"/>
                <w:color w:val="auto"/>
                <w:sz w:val="24"/>
                <w:szCs w:val="24"/>
              </w:rPr>
              <w:t>here</w:t>
            </w:r>
            <w:r w:rsidR="0011267D">
              <w:rPr>
                <w:rFonts w:asciiTheme="minorHAnsi" w:hAnsiTheme="minorHAnsi" w:cstheme="minorHAnsi"/>
                <w:color w:val="auto"/>
                <w:sz w:val="24"/>
                <w:szCs w:val="24"/>
              </w:rPr>
              <w:t>,</w:t>
            </w:r>
            <w:r w:rsidR="002F08D5">
              <w:rPr>
                <w:rFonts w:asciiTheme="minorHAnsi" w:hAnsiTheme="minorHAnsi" w:cstheme="minorHAnsi"/>
                <w:color w:val="auto"/>
                <w:sz w:val="24"/>
                <w:szCs w:val="24"/>
              </w:rPr>
              <w:t xml:space="preserve"> water </w:t>
            </w:r>
            <w:r w:rsidR="0072265C">
              <w:rPr>
                <w:rFonts w:asciiTheme="minorHAnsi" w:hAnsiTheme="minorHAnsi" w:cstheme="minorHAnsi"/>
                <w:color w:val="auto"/>
                <w:sz w:val="24"/>
                <w:szCs w:val="24"/>
              </w:rPr>
              <w:t>will</w:t>
            </w:r>
            <w:r w:rsidR="0072265C">
              <w:rPr>
                <w:rFonts w:asciiTheme="minorHAnsi" w:hAnsiTheme="minorHAnsi" w:cstheme="minorHAnsi"/>
                <w:color w:val="auto"/>
                <w:sz w:val="24"/>
                <w:szCs w:val="24"/>
              </w:rPr>
              <w:t xml:space="preserve"> </w:t>
            </w:r>
            <w:r w:rsidR="002F08D5">
              <w:rPr>
                <w:rFonts w:asciiTheme="minorHAnsi" w:hAnsiTheme="minorHAnsi" w:cstheme="minorHAnsi"/>
                <w:color w:val="auto"/>
                <w:sz w:val="24"/>
                <w:szCs w:val="24"/>
              </w:rPr>
              <w:t xml:space="preserve">be pumped using </w:t>
            </w:r>
            <w:r w:rsidR="0072265C">
              <w:rPr>
                <w:rFonts w:asciiTheme="minorHAnsi" w:hAnsiTheme="minorHAnsi" w:cstheme="minorHAnsi"/>
                <w:color w:val="auto"/>
                <w:sz w:val="24"/>
                <w:szCs w:val="24"/>
              </w:rPr>
              <w:t>system</w:t>
            </w:r>
            <w:r w:rsidR="002F08D5">
              <w:rPr>
                <w:rFonts w:asciiTheme="minorHAnsi" w:hAnsiTheme="minorHAnsi" w:cstheme="minorHAnsi"/>
                <w:color w:val="auto"/>
                <w:sz w:val="24"/>
                <w:szCs w:val="24"/>
              </w:rPr>
              <w:t xml:space="preserve"> of wells</w:t>
            </w:r>
            <w:r w:rsidR="0072265C">
              <w:rPr>
                <w:rFonts w:asciiTheme="minorHAnsi" w:hAnsiTheme="minorHAnsi" w:cstheme="minorHAnsi"/>
                <w:color w:val="auto"/>
                <w:sz w:val="24"/>
                <w:szCs w:val="24"/>
              </w:rPr>
              <w:t xml:space="preserve"> and transported via pipeline to the Project location.</w:t>
            </w:r>
            <w:r w:rsidR="002F08D5">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 </w:t>
            </w:r>
          </w:p>
        </w:tc>
      </w:tr>
      <w:tr w:rsidR="00DB5FAA" w:rsidRPr="006B3E61" w14:paraId="74A341A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ECF357"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Outputs (e.g. amounts and types of: emissions into the atmosphere, discharges into the water system, solid waste):</w:t>
            </w:r>
          </w:p>
          <w:p w14:paraId="6D5F1B32" w14:textId="4C4045B8" w:rsidR="00DB5FAA" w:rsidRPr="006B3E61" w:rsidRDefault="00DB5FAA" w:rsidP="001D24CA">
            <w:pPr>
              <w:pStyle w:val="Other0"/>
              <w:spacing w:after="36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Jadarite mining under the Jadar Project deploys an underground exploitation technology assisted by mining machinery. A large number of sources of potential emissions of pollutants are located in the underground production system and as such, at least when it comes to air and soil pollution, noise and vibration, light, heat and radiation, etc., do not exert a significant impact on the environment. A possible impact can be expected in terms of dust emissions emitted from ancillary facilities, such as a beneficiation plant and a tailings dump. Furthermore, the possible impact can be expected from the point of view of water, which is pumped from the underground production system to the surface as part of the regular mine drainage process for further treatment. The planned project envisages all measures necessary to prevent and limit possible negative impacts on environmental factors.</w:t>
            </w:r>
          </w:p>
        </w:tc>
      </w:tr>
      <w:tr w:rsidR="00DB5FAA" w:rsidRPr="006B3E61" w14:paraId="4A11989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BF7A16"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Transboundary impacts (e.g. types, locations, magnitudes):</w:t>
            </w:r>
          </w:p>
          <w:p w14:paraId="56670AAE" w14:textId="2CD391AE" w:rsidR="00DB5FAA" w:rsidRPr="006B3E61" w:rsidRDefault="00CE1C59" w:rsidP="00DB5FAA">
            <w:pPr>
              <w:pStyle w:val="Other0"/>
              <w:rPr>
                <w:rFonts w:asciiTheme="minorHAnsi" w:eastAsia="Times New Roman" w:hAnsiTheme="minorHAnsi" w:cstheme="minorHAnsi"/>
                <w:b/>
                <w:bCs/>
                <w:color w:val="auto"/>
                <w:sz w:val="24"/>
                <w:szCs w:val="24"/>
                <w:lang w:val="sr-Latn-RS"/>
              </w:rPr>
            </w:pPr>
            <w:r>
              <w:rPr>
                <w:rFonts w:asciiTheme="minorHAnsi" w:hAnsiTheme="minorHAnsi" w:cstheme="minorHAnsi"/>
                <w:color w:val="auto"/>
                <w:sz w:val="24"/>
                <w:szCs w:val="24"/>
              </w:rPr>
              <w:t>According to the available information n</w:t>
            </w:r>
            <w:r w:rsidR="00DB5FAA" w:rsidRPr="006B3E61">
              <w:rPr>
                <w:rFonts w:asciiTheme="minorHAnsi" w:hAnsiTheme="minorHAnsi" w:cstheme="minorHAnsi"/>
                <w:color w:val="auto"/>
                <w:sz w:val="24"/>
                <w:szCs w:val="24"/>
              </w:rPr>
              <w:t>o transboundary impacts are expected</w:t>
            </w:r>
            <w:r>
              <w:rPr>
                <w:rFonts w:asciiTheme="minorHAnsi" w:hAnsiTheme="minorHAnsi" w:cstheme="minorHAnsi"/>
                <w:color w:val="auto"/>
                <w:sz w:val="24"/>
                <w:szCs w:val="24"/>
              </w:rPr>
              <w:t>.</w:t>
            </w:r>
            <w:r w:rsidR="00DB5FAA" w:rsidRPr="006B3E61">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Detailed impact analysis </w:t>
            </w:r>
            <w:r w:rsidR="00DB5FAA" w:rsidRPr="006B3E61">
              <w:rPr>
                <w:rFonts w:asciiTheme="minorHAnsi" w:hAnsiTheme="minorHAnsi" w:cstheme="minorHAnsi"/>
                <w:color w:val="auto"/>
                <w:sz w:val="24"/>
                <w:szCs w:val="24"/>
              </w:rPr>
              <w:t xml:space="preserve"> will be addressed in detail </w:t>
            </w:r>
            <w:r w:rsidR="002527D5">
              <w:rPr>
                <w:rFonts w:asciiTheme="minorHAnsi" w:hAnsiTheme="minorHAnsi" w:cstheme="minorHAnsi"/>
                <w:color w:val="auto"/>
                <w:sz w:val="24"/>
                <w:szCs w:val="24"/>
              </w:rPr>
              <w:t xml:space="preserve">through further development of the project, including </w:t>
            </w:r>
            <w:r w:rsidR="00DB5FAA" w:rsidRPr="006B3E61">
              <w:rPr>
                <w:rFonts w:asciiTheme="minorHAnsi" w:hAnsiTheme="minorHAnsi" w:cstheme="minorHAnsi"/>
                <w:color w:val="auto"/>
                <w:sz w:val="24"/>
                <w:szCs w:val="24"/>
              </w:rPr>
              <w:t xml:space="preserve"> the relevant Environmental Impact Assessment Study.</w:t>
            </w:r>
          </w:p>
        </w:tc>
      </w:tr>
      <w:tr w:rsidR="00DB5FAA" w:rsidRPr="006B3E61" w14:paraId="26D9F89B"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559386"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Proposed mitigation measures (e.g. if known, mitigation measures to prevent, eliminate, minimize, compensate for environmental effects):</w:t>
            </w:r>
          </w:p>
          <w:p w14:paraId="24DBFF32" w14:textId="6A011A22" w:rsidR="00DB5FAA" w:rsidRPr="006B3E61" w:rsidRDefault="00DB5FAA" w:rsidP="00DB5FAA">
            <w:pPr>
              <w:pStyle w:val="Oth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The </w:t>
            </w:r>
            <w:r w:rsidR="00E8053A">
              <w:rPr>
                <w:rFonts w:asciiTheme="minorHAnsi" w:hAnsiTheme="minorHAnsi" w:cstheme="minorHAnsi"/>
                <w:color w:val="auto"/>
                <w:sz w:val="24"/>
                <w:szCs w:val="24"/>
              </w:rPr>
              <w:t>mining</w:t>
            </w:r>
            <w:r w:rsidRPr="006B3E61">
              <w:rPr>
                <w:rFonts w:asciiTheme="minorHAnsi" w:hAnsiTheme="minorHAnsi" w:cstheme="minorHAnsi"/>
                <w:color w:val="auto"/>
                <w:sz w:val="24"/>
                <w:szCs w:val="24"/>
              </w:rPr>
              <w:t xml:space="preserve"> plan</w:t>
            </w:r>
            <w:r w:rsidR="00E8053A">
              <w:rPr>
                <w:rFonts w:asciiTheme="minorHAnsi" w:hAnsiTheme="minorHAnsi" w:cstheme="minorHAnsi"/>
                <w:color w:val="auto"/>
                <w:sz w:val="24"/>
                <w:szCs w:val="24"/>
              </w:rPr>
              <w:t xml:space="preserve"> are incorporating mitigation</w:t>
            </w:r>
            <w:r w:rsidRPr="006B3E61">
              <w:rPr>
                <w:rFonts w:asciiTheme="minorHAnsi" w:hAnsiTheme="minorHAnsi" w:cstheme="minorHAnsi"/>
                <w:color w:val="auto"/>
                <w:sz w:val="24"/>
                <w:szCs w:val="24"/>
              </w:rPr>
              <w:t xml:space="preserve"> measures for the protection and rehabilitation of the environment, which imply </w:t>
            </w:r>
            <w:r w:rsidR="00E8053A">
              <w:rPr>
                <w:rFonts w:asciiTheme="minorHAnsi" w:hAnsiTheme="minorHAnsi" w:cstheme="minorHAnsi"/>
                <w:color w:val="auto"/>
                <w:sz w:val="24"/>
                <w:szCs w:val="24"/>
              </w:rPr>
              <w:t>strict</w:t>
            </w:r>
            <w:r w:rsidR="00E8053A"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 xml:space="preserve">implementation of the adopted principles: BAT – application of the best available techniques in the design and development stage of the </w:t>
            </w:r>
            <w:r w:rsidRPr="006B3E61">
              <w:rPr>
                <w:rFonts w:asciiTheme="minorHAnsi" w:hAnsiTheme="minorHAnsi" w:cstheme="minorHAnsi"/>
                <w:color w:val="auto"/>
                <w:sz w:val="24"/>
                <w:szCs w:val="24"/>
              </w:rPr>
              <w:lastRenderedPageBreak/>
              <w:t>project, i.e. BMP – best management practices, principles to be applied in the stage of project construction and exploitation. Further detailed consideration of measures will be performed during the preparation of the Environmental Impact Assessment Study.</w:t>
            </w:r>
          </w:p>
        </w:tc>
      </w:tr>
      <w:tr w:rsidR="00A7561A" w:rsidRPr="006B3E61" w14:paraId="060D93F4"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496F44"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Additional information/comments:</w:t>
            </w:r>
          </w:p>
          <w:p w14:paraId="12ACB0F6" w14:textId="6BC4FDC0" w:rsidR="00DB5FAA" w:rsidRPr="006B3E61" w:rsidRDefault="00DB5FAA" w:rsidP="00DB5FAA">
            <w:pPr>
              <w:pStyle w:val="Other0"/>
              <w:spacing w:after="120"/>
              <w:rPr>
                <w:rFonts w:asciiTheme="minorHAnsi" w:eastAsia="Times New Roman" w:hAnsiTheme="minorHAnsi" w:cstheme="minorHAnsi"/>
                <w:b/>
                <w:bCs/>
                <w:color w:val="auto"/>
                <w:sz w:val="24"/>
                <w:szCs w:val="24"/>
                <w:lang w:val="sr-Latn-RS"/>
              </w:rPr>
            </w:pPr>
          </w:p>
        </w:tc>
      </w:tr>
      <w:tr w:rsidR="00D66282" w:rsidRPr="006B3E61" w14:paraId="594C1956"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EDDD35" w14:textId="7F47A210" w:rsidR="00DB5FAA" w:rsidRPr="006B3E61" w:rsidRDefault="00DB5FAA" w:rsidP="00DB5FAA">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(iv) Proponent/developer</w:t>
            </w:r>
          </w:p>
        </w:tc>
      </w:tr>
      <w:tr w:rsidR="00A7561A" w:rsidRPr="006B3E61" w14:paraId="0948B828" w14:textId="77777777" w:rsidTr="00027910">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tcPr>
          <w:p w14:paraId="6606C934" w14:textId="225DE13C" w:rsidR="006B3E61" w:rsidRDefault="006B3E61" w:rsidP="006B3E61">
            <w:pPr>
              <w:widowControl/>
              <w:rPr>
                <w:rFonts w:asciiTheme="minorHAnsi" w:eastAsia="Calibri" w:hAnsiTheme="minorHAnsi" w:cstheme="minorHAnsi"/>
                <w:b/>
                <w:bCs/>
                <w:noProof/>
                <w:color w:val="auto"/>
                <w:spacing w:val="-4"/>
                <w:lang w:val="sr-Latn-RS"/>
              </w:rPr>
            </w:pPr>
            <w:r w:rsidRPr="006B3E61">
              <w:rPr>
                <w:rFonts w:asciiTheme="minorHAnsi" w:eastAsia="Calibri" w:hAnsiTheme="minorHAnsi" w:cstheme="minorHAnsi"/>
                <w:b/>
                <w:noProof/>
                <w:color w:val="auto"/>
                <w:spacing w:val="-4"/>
              </w:rPr>
              <w:t>Name, address, telephone and fax numbers</w:t>
            </w:r>
          </w:p>
          <w:p w14:paraId="101A4589" w14:textId="77777777" w:rsidR="00015B85" w:rsidRDefault="00015B85" w:rsidP="001440D1">
            <w:pPr>
              <w:widowControl/>
              <w:rPr>
                <w:rFonts w:asciiTheme="minorHAnsi" w:eastAsia="Calibri" w:hAnsiTheme="minorHAnsi" w:cstheme="minorHAnsi"/>
                <w:b/>
                <w:bCs/>
                <w:noProof/>
                <w:color w:val="auto"/>
                <w:spacing w:val="-4"/>
                <w:lang w:val="sr-Latn-RS"/>
              </w:rPr>
            </w:pPr>
          </w:p>
          <w:p w14:paraId="4D1FADFC" w14:textId="417DBF22" w:rsidR="006B3E61" w:rsidRPr="00015B85" w:rsidRDefault="001440D1" w:rsidP="001440D1">
            <w:pPr>
              <w:widowControl/>
              <w:rPr>
                <w:rFonts w:asciiTheme="minorHAnsi" w:eastAsia="Calibri" w:hAnsiTheme="minorHAnsi" w:cstheme="minorHAnsi"/>
                <w:color w:val="auto"/>
                <w:spacing w:val="-4"/>
                <w:lang w:val="sr-Latn-RS"/>
              </w:rPr>
            </w:pPr>
            <w:r w:rsidRPr="00015B85">
              <w:rPr>
                <w:rFonts w:asciiTheme="minorHAnsi" w:eastAsia="Calibri" w:hAnsiTheme="minorHAnsi" w:cstheme="minorHAnsi"/>
                <w:noProof/>
                <w:color w:val="auto"/>
                <w:spacing w:val="-4"/>
              </w:rPr>
              <w:t xml:space="preserve">Legal entity: </w:t>
            </w:r>
            <w:bookmarkStart w:id="0" w:name="_Hlk62561598"/>
            <w:r w:rsidRPr="00015B85">
              <w:rPr>
                <w:rFonts w:asciiTheme="minorHAnsi" w:eastAsia="Calibri" w:hAnsiTheme="minorHAnsi" w:cstheme="minorHAnsi"/>
                <w:color w:val="auto"/>
                <w:spacing w:val="-4"/>
              </w:rPr>
              <w:t>Rio Sava Exploration d.o.o.</w:t>
            </w:r>
            <w:bookmarkEnd w:id="0"/>
            <w:r w:rsidRPr="00015B85">
              <w:rPr>
                <w:rFonts w:asciiTheme="minorHAnsi" w:eastAsia="Calibri" w:hAnsiTheme="minorHAnsi" w:cstheme="minorHAnsi"/>
                <w:color w:val="auto"/>
                <w:spacing w:val="-4"/>
              </w:rPr>
              <w:t>,</w:t>
            </w:r>
          </w:p>
          <w:p w14:paraId="762D8702" w14:textId="088ABA74" w:rsidR="001440D1" w:rsidRPr="006B3E61" w:rsidRDefault="001440D1" w:rsidP="001440D1">
            <w:pPr>
              <w:widowControl/>
              <w:rPr>
                <w:rFonts w:asciiTheme="minorHAnsi" w:eastAsia="Calibri" w:hAnsiTheme="minorHAnsi" w:cstheme="minorHAnsi"/>
                <w:color w:val="auto"/>
                <w:spacing w:val="-4"/>
                <w:lang w:val="sr-Latn-RS"/>
              </w:rPr>
            </w:pPr>
            <w:r w:rsidRPr="006B3E61">
              <w:rPr>
                <w:rFonts w:asciiTheme="minorHAnsi" w:eastAsia="Calibri" w:hAnsiTheme="minorHAnsi" w:cstheme="minorHAnsi"/>
                <w:color w:val="auto"/>
                <w:spacing w:val="1"/>
              </w:rPr>
              <w:t>GEOLOGICAL EXPLORATION COMPANY RIO SAVA EXPLORATION DOO BEOGRAD (NOVI BEOGRAD)</w:t>
            </w:r>
          </w:p>
          <w:p w14:paraId="4BA15109"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Address: </w:t>
            </w:r>
            <w:r w:rsidRPr="006B3E61">
              <w:rPr>
                <w:rFonts w:asciiTheme="minorHAnsi" w:eastAsia="Calibri" w:hAnsiTheme="minorHAnsi" w:cstheme="minorHAnsi"/>
                <w:color w:val="auto"/>
                <w:spacing w:val="-4"/>
              </w:rPr>
              <w:t>1i Milutina Milankovića Blvd., 11070 Novi Beograd, Serbia</w:t>
            </w:r>
          </w:p>
          <w:p w14:paraId="06AEA31C"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Telephone: </w:t>
            </w:r>
            <w:r w:rsidRPr="006B3E61">
              <w:rPr>
                <w:rFonts w:asciiTheme="minorHAnsi" w:eastAsia="Calibri" w:hAnsiTheme="minorHAnsi" w:cstheme="minorHAnsi"/>
                <w:color w:val="auto"/>
                <w:spacing w:val="-4"/>
                <w:shd w:val="clear" w:color="auto" w:fill="FFFFFF"/>
              </w:rPr>
              <w:t>+381 (0) 11 4041 430</w:t>
            </w:r>
          </w:p>
          <w:p w14:paraId="74B41EAB"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E-mail: </w:t>
            </w:r>
            <w:hyperlink r:id="rId8" w:history="1">
              <w:r w:rsidRPr="006B3E61">
                <w:rPr>
                  <w:rStyle w:val="Hyperlink"/>
                  <w:rFonts w:asciiTheme="minorHAnsi" w:eastAsia="Calibri" w:hAnsiTheme="minorHAnsi" w:cstheme="minorHAnsi"/>
                  <w:color w:val="auto"/>
                  <w:spacing w:val="-4"/>
                </w:rPr>
                <w:t>serbia@riotinto.com</w:t>
              </w:r>
            </w:hyperlink>
          </w:p>
          <w:p w14:paraId="3A91DFEF" w14:textId="3D097A7C" w:rsidR="001440D1" w:rsidRPr="006B3E61" w:rsidRDefault="001440D1" w:rsidP="001440D1">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Calibri" w:hAnsiTheme="minorHAnsi" w:cstheme="minorHAnsi"/>
                <w:b/>
                <w:color w:val="auto"/>
                <w:spacing w:val="-4"/>
                <w:sz w:val="24"/>
                <w:szCs w:val="24"/>
              </w:rPr>
              <w:t xml:space="preserve">Web site: </w:t>
            </w:r>
            <w:hyperlink r:id="rId9" w:history="1">
              <w:r w:rsidRPr="006B3E61">
                <w:rPr>
                  <w:rFonts w:asciiTheme="minorHAnsi" w:eastAsia="Calibri" w:hAnsiTheme="minorHAnsi" w:cstheme="minorHAnsi"/>
                  <w:color w:val="auto"/>
                  <w:spacing w:val="-4"/>
                  <w:sz w:val="24"/>
                  <w:szCs w:val="24"/>
                  <w:u w:val="single"/>
                </w:rPr>
                <w:t>http://www.riotinto.com/Jadar</w:t>
              </w:r>
            </w:hyperlink>
          </w:p>
        </w:tc>
      </w:tr>
      <w:tr w:rsidR="00D66282" w:rsidRPr="00015B85" w14:paraId="2ED4BA79"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DFD400" w14:textId="5CC77B6E"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(v) EIA documentation</w:t>
            </w:r>
          </w:p>
        </w:tc>
      </w:tr>
      <w:tr w:rsidR="00A7561A" w:rsidRPr="006B3E61" w14:paraId="21B13379"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5B1F81" w14:textId="77777777" w:rsidR="00015B85" w:rsidRDefault="001440D1" w:rsidP="001440D1">
            <w:pPr>
              <w:pStyle w:val="Other0"/>
              <w:tabs>
                <w:tab w:val="left" w:pos="6192"/>
              </w:tabs>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Is the EIA documentation (e.g. EIA report or EIS) included in the</w:t>
            </w:r>
            <w:r w:rsidRPr="006B3E61">
              <w:rPr>
                <w:rFonts w:asciiTheme="minorHAnsi" w:eastAsia="Times New Roman" w:hAnsiTheme="minorHAnsi" w:cstheme="minorHAnsi"/>
                <w:b/>
                <w:color w:val="auto"/>
                <w:sz w:val="24"/>
                <w:szCs w:val="24"/>
              </w:rPr>
              <w:tab/>
              <w:t>notification?</w:t>
            </w:r>
          </w:p>
          <w:p w14:paraId="44881BB4" w14:textId="7CEFFA1D" w:rsidR="001440D1" w:rsidRPr="00E6406C" w:rsidRDefault="001440D1" w:rsidP="001440D1">
            <w:pPr>
              <w:pStyle w:val="Other0"/>
              <w:tabs>
                <w:tab w:val="left" w:pos="6192"/>
              </w:tabs>
              <w:spacing w:after="0"/>
              <w:rPr>
                <w:rFonts w:asciiTheme="minorHAnsi" w:eastAsia="Times New Roman" w:hAnsiTheme="minorHAnsi" w:cstheme="minorHAnsi"/>
                <w:color w:val="auto"/>
                <w:sz w:val="24"/>
                <w:szCs w:val="24"/>
                <w:lang w:val="sr-Latn-RS"/>
              </w:rPr>
            </w:pPr>
            <w:r w:rsidRPr="00E6406C">
              <w:rPr>
                <w:rFonts w:asciiTheme="minorHAnsi" w:eastAsia="Times New Roman" w:hAnsiTheme="minorHAnsi" w:cstheme="minorHAnsi"/>
                <w:color w:val="auto"/>
                <w:sz w:val="24"/>
                <w:szCs w:val="24"/>
              </w:rPr>
              <w:t>NO</w:t>
            </w:r>
          </w:p>
          <w:p w14:paraId="20A62A4B" w14:textId="6B7A0E6B" w:rsidR="001440D1" w:rsidRPr="006B3E61" w:rsidRDefault="001440D1" w:rsidP="001440D1">
            <w:pPr>
              <w:pStyle w:val="Other0"/>
              <w:tabs>
                <w:tab w:val="left" w:pos="6192"/>
              </w:tabs>
              <w:spacing w:after="0"/>
              <w:rPr>
                <w:rFonts w:asciiTheme="minorHAnsi" w:eastAsia="Times New Roman" w:hAnsiTheme="minorHAnsi" w:cstheme="minorHAnsi"/>
                <w:b/>
                <w:bCs/>
                <w:color w:val="auto"/>
                <w:sz w:val="24"/>
                <w:szCs w:val="24"/>
                <w:lang w:val="sr-Latn-RS"/>
              </w:rPr>
            </w:pPr>
          </w:p>
        </w:tc>
      </w:tr>
      <w:tr w:rsidR="00A7561A" w:rsidRPr="006B3E61" w14:paraId="602F180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BA85FF" w14:textId="77777777" w:rsidR="001440D1" w:rsidRPr="006B3E61" w:rsidRDefault="001440D1" w:rsidP="001440D1">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If the answer to the above is no or partially, description of additional documentation to be forwarded and (approximate) date(s) when documentation will be available:</w:t>
            </w:r>
          </w:p>
          <w:p w14:paraId="68291702" w14:textId="77777777" w:rsidR="001440D1" w:rsidRPr="006B3E61" w:rsidRDefault="001440D1"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Development of Request for Establishing the Scope and Contents of the Impact Assessment </w:t>
            </w:r>
          </w:p>
          <w:p w14:paraId="26107396" w14:textId="7AA5DD8B" w:rsidR="001440D1" w:rsidRPr="006B3E61" w:rsidRDefault="001440D1" w:rsidP="00015B85">
            <w:pPr>
              <w:pStyle w:val="Other0"/>
              <w:spacing w:aft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Study is ongoing.</w:t>
            </w:r>
          </w:p>
        </w:tc>
      </w:tr>
      <w:tr w:rsidR="001440D1" w:rsidRPr="006B3E61" w14:paraId="3B4F906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651CE2" w14:textId="77777777" w:rsidR="001440D1" w:rsidRPr="006B3E61" w:rsidRDefault="001440D1" w:rsidP="001440D1">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09B9E33F" w14:textId="0E92644C" w:rsidR="001440D1" w:rsidRPr="006B3E61" w:rsidRDefault="001440D1" w:rsidP="001440D1">
            <w:pPr>
              <w:pStyle w:val="Other0"/>
              <w:spacing w:after="120"/>
              <w:rPr>
                <w:rFonts w:asciiTheme="minorHAnsi" w:eastAsia="Times New Roman" w:hAnsiTheme="minorHAnsi" w:cstheme="minorHAnsi"/>
                <w:b/>
                <w:bCs/>
                <w:color w:val="auto"/>
                <w:sz w:val="24"/>
                <w:szCs w:val="24"/>
                <w:lang w:val="sr-Latn-RS"/>
              </w:rPr>
            </w:pPr>
          </w:p>
        </w:tc>
      </w:tr>
      <w:tr w:rsidR="00D66282" w:rsidRPr="00015B85" w14:paraId="1E3C9CA0"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3D2EE3" w14:textId="4DFFB96D"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2. POINTS OF CONTACT</w:t>
            </w:r>
          </w:p>
        </w:tc>
      </w:tr>
      <w:tr w:rsidR="00D66282" w:rsidRPr="00015B85" w14:paraId="499C7DF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5157A8" w14:textId="58985894"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 Points of contact for the possible affected Party or Parties</w:t>
            </w:r>
          </w:p>
        </w:tc>
      </w:tr>
      <w:tr w:rsidR="00A7561A" w:rsidRPr="006B3E61" w14:paraId="0FF22657" w14:textId="77777777" w:rsidTr="006C2BD5">
        <w:trPr>
          <w:trHeight w:val="615"/>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8B023A" w14:textId="0E6C7C0A" w:rsidR="001440D1" w:rsidRPr="006B3E61" w:rsidRDefault="001440D1" w:rsidP="00015B85">
            <w:pPr>
              <w:pStyle w:val="Other0"/>
              <w:spacing w:aft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 xml:space="preserve">Authority responsible for coordinating activities relating to the EIA (refer to decision I/3, appendix) - Name, address, </w:t>
            </w:r>
            <w:r w:rsidR="00D05428" w:rsidRPr="006B3E61">
              <w:rPr>
                <w:rFonts w:asciiTheme="minorHAnsi" w:eastAsia="Times New Roman" w:hAnsiTheme="minorHAnsi" w:cstheme="minorHAnsi"/>
                <w:b/>
                <w:color w:val="auto"/>
                <w:sz w:val="24"/>
                <w:szCs w:val="24"/>
              </w:rPr>
              <w:t>telephone,</w:t>
            </w:r>
            <w:r w:rsidRPr="006B3E61">
              <w:rPr>
                <w:rFonts w:asciiTheme="minorHAnsi" w:eastAsia="Times New Roman" w:hAnsiTheme="minorHAnsi" w:cstheme="minorHAnsi"/>
                <w:b/>
                <w:color w:val="auto"/>
                <w:sz w:val="24"/>
                <w:szCs w:val="24"/>
              </w:rPr>
              <w:t xml:space="preserve"> and fax numbers:</w:t>
            </w:r>
          </w:p>
          <w:p w14:paraId="1399D7A2" w14:textId="18EF2E27" w:rsidR="001440D1" w:rsidRPr="006B3E61" w:rsidRDefault="001440D1" w:rsidP="006470D2">
            <w:pPr>
              <w:pStyle w:val="Other0"/>
              <w:spacing w:after="0"/>
              <w:rPr>
                <w:rFonts w:asciiTheme="minorHAnsi" w:eastAsia="Times New Roman" w:hAnsiTheme="minorHAnsi" w:cstheme="minorHAnsi"/>
                <w:b/>
                <w:bCs/>
                <w:color w:val="auto"/>
                <w:sz w:val="24"/>
                <w:szCs w:val="24"/>
                <w:lang w:val="sr-Latn-RS"/>
              </w:rPr>
            </w:pPr>
          </w:p>
        </w:tc>
      </w:tr>
      <w:tr w:rsidR="006C2BD5" w:rsidRPr="006B3E61" w14:paraId="5F0E4CD7" w14:textId="5EF38163" w:rsidTr="00846DB7">
        <w:trPr>
          <w:trHeight w:val="840"/>
          <w:jc w:val="center"/>
        </w:trPr>
        <w:tc>
          <w:tcPr>
            <w:tcW w:w="4650" w:type="dxa"/>
            <w:tcBorders>
              <w:top w:val="single" w:sz="4" w:space="0" w:color="auto"/>
              <w:left w:val="single" w:sz="4" w:space="0" w:color="auto"/>
              <w:bottom w:val="single" w:sz="4" w:space="0" w:color="auto"/>
              <w:right w:val="single" w:sz="4" w:space="0" w:color="auto"/>
            </w:tcBorders>
            <w:shd w:val="clear" w:color="auto" w:fill="FFFFFF"/>
          </w:tcPr>
          <w:p w14:paraId="2DFFC38D" w14:textId="7CB179EB" w:rsidR="006C2BD5"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t xml:space="preserve">Ministry </w:t>
            </w:r>
            <w:r>
              <w:rPr>
                <w:rFonts w:asciiTheme="minorHAnsi" w:hAnsiTheme="minorHAnsi" w:cstheme="minorHAnsi"/>
                <w:color w:val="auto"/>
                <w:sz w:val="24"/>
                <w:szCs w:val="24"/>
              </w:rPr>
              <w:t>o</w:t>
            </w:r>
            <w:r w:rsidRPr="00846DB7">
              <w:rPr>
                <w:rFonts w:asciiTheme="minorHAnsi" w:hAnsiTheme="minorHAnsi" w:cstheme="minorHAnsi"/>
                <w:color w:val="auto"/>
                <w:sz w:val="24"/>
                <w:szCs w:val="24"/>
              </w:rPr>
              <w:t xml:space="preserve">f Environment </w:t>
            </w:r>
            <w:r w:rsidR="00A44E0F">
              <w:rPr>
                <w:rFonts w:asciiTheme="minorHAnsi" w:hAnsiTheme="minorHAnsi" w:cstheme="minorHAnsi"/>
                <w:color w:val="auto"/>
                <w:sz w:val="24"/>
                <w:szCs w:val="24"/>
              </w:rPr>
              <w:t>a</w:t>
            </w:r>
            <w:r w:rsidRPr="00846DB7">
              <w:rPr>
                <w:rFonts w:asciiTheme="minorHAnsi" w:hAnsiTheme="minorHAnsi" w:cstheme="minorHAnsi"/>
                <w:color w:val="auto"/>
                <w:sz w:val="24"/>
                <w:szCs w:val="24"/>
              </w:rPr>
              <w:t>nd Tourism</w:t>
            </w:r>
          </w:p>
          <w:p w14:paraId="4B5216C3" w14:textId="77777777" w:rsidR="00846DB7" w:rsidRDefault="00846DB7" w:rsidP="00846DB7">
            <w:pPr>
              <w:pStyle w:val="Other0"/>
              <w:spacing w:after="0"/>
              <w:rPr>
                <w:rFonts w:asciiTheme="minorHAnsi" w:hAnsiTheme="minorHAnsi" w:cstheme="minorHAnsi"/>
                <w:color w:val="auto"/>
                <w:sz w:val="24"/>
                <w:szCs w:val="24"/>
              </w:rPr>
            </w:pPr>
            <w:r>
              <w:rPr>
                <w:rFonts w:asciiTheme="minorHAnsi" w:hAnsiTheme="minorHAnsi" w:cstheme="minorHAnsi"/>
                <w:color w:val="auto"/>
                <w:sz w:val="24"/>
                <w:szCs w:val="24"/>
              </w:rPr>
              <w:t xml:space="preserve">Address: </w:t>
            </w:r>
            <w:r w:rsidRPr="00846DB7">
              <w:rPr>
                <w:rFonts w:asciiTheme="minorHAnsi" w:hAnsiTheme="minorHAnsi" w:cstheme="minorHAnsi"/>
                <w:color w:val="auto"/>
                <w:sz w:val="24"/>
                <w:szCs w:val="24"/>
              </w:rPr>
              <w:t>Hamdije Čemerlića 2</w:t>
            </w:r>
            <w:r>
              <w:rPr>
                <w:rFonts w:asciiTheme="minorHAnsi" w:hAnsiTheme="minorHAnsi" w:cstheme="minorHAnsi"/>
                <w:color w:val="auto"/>
                <w:sz w:val="24"/>
                <w:szCs w:val="24"/>
              </w:rPr>
              <w:t xml:space="preserve">, </w:t>
            </w:r>
          </w:p>
          <w:p w14:paraId="5AAD2F6A" w14:textId="1F0CDB9F" w:rsidR="00846DB7" w:rsidRPr="00846DB7" w:rsidRDefault="00846DB7" w:rsidP="00846DB7">
            <w:pPr>
              <w:pStyle w:val="Other0"/>
              <w:spacing w:after="0"/>
              <w:rPr>
                <w:rFonts w:asciiTheme="minorHAnsi" w:hAnsiTheme="minorHAnsi" w:cstheme="minorHAnsi"/>
                <w:color w:val="auto"/>
                <w:sz w:val="24"/>
                <w:szCs w:val="24"/>
              </w:rPr>
            </w:pPr>
            <w:r>
              <w:rPr>
                <w:rFonts w:asciiTheme="minorHAnsi" w:hAnsiTheme="minorHAnsi" w:cstheme="minorHAnsi"/>
                <w:color w:val="auto"/>
                <w:sz w:val="24"/>
                <w:szCs w:val="24"/>
              </w:rPr>
              <w:t>71000 Sarajevo</w:t>
            </w:r>
          </w:p>
          <w:p w14:paraId="4100E800" w14:textId="364B429E" w:rsidR="00846DB7" w:rsidRPr="00846DB7"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t>Tel: +387 33 726 700</w:t>
            </w:r>
          </w:p>
          <w:p w14:paraId="7233A4C9" w14:textId="5AD11074" w:rsidR="00846DB7"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t>Fax: +387 33 726 747</w:t>
            </w:r>
          </w:p>
          <w:p w14:paraId="7A9E17D1" w14:textId="51799727" w:rsidR="006C2BD5" w:rsidRPr="00846DB7" w:rsidRDefault="00846DB7" w:rsidP="00846DB7">
            <w:pPr>
              <w:pStyle w:val="Other0"/>
              <w:spacing w:after="0"/>
              <w:rPr>
                <w:rFonts w:asciiTheme="minorHAnsi" w:eastAsia="Times New Roman" w:hAnsiTheme="minorHAnsi" w:cstheme="minorHAnsi"/>
                <w:bCs/>
                <w:color w:val="auto"/>
                <w:sz w:val="24"/>
                <w:szCs w:val="24"/>
              </w:rPr>
            </w:pPr>
            <w:r w:rsidRPr="00846DB7">
              <w:rPr>
                <w:rFonts w:asciiTheme="minorHAnsi" w:eastAsia="Times New Roman" w:hAnsiTheme="minorHAnsi" w:cstheme="minorHAnsi"/>
                <w:bCs/>
                <w:color w:val="auto"/>
                <w:sz w:val="24"/>
                <w:szCs w:val="24"/>
              </w:rPr>
              <w:t>E-</w:t>
            </w:r>
            <w:r>
              <w:rPr>
                <w:rFonts w:asciiTheme="minorHAnsi" w:eastAsia="Times New Roman" w:hAnsiTheme="minorHAnsi" w:cstheme="minorHAnsi"/>
                <w:bCs/>
                <w:color w:val="auto"/>
                <w:sz w:val="24"/>
                <w:szCs w:val="24"/>
              </w:rPr>
              <w:t>m</w:t>
            </w:r>
            <w:r w:rsidRPr="00846DB7">
              <w:rPr>
                <w:rFonts w:asciiTheme="minorHAnsi" w:eastAsia="Times New Roman" w:hAnsiTheme="minorHAnsi" w:cstheme="minorHAnsi"/>
                <w:bCs/>
                <w:color w:val="auto"/>
                <w:sz w:val="24"/>
                <w:szCs w:val="24"/>
              </w:rPr>
              <w:t>ail:</w:t>
            </w:r>
            <w:r>
              <w:rPr>
                <w:rFonts w:asciiTheme="minorHAnsi" w:eastAsia="Times New Roman" w:hAnsiTheme="minorHAnsi" w:cstheme="minorHAnsi"/>
                <w:b/>
                <w:color w:val="auto"/>
                <w:sz w:val="24"/>
                <w:szCs w:val="24"/>
              </w:rPr>
              <w:t xml:space="preserve"> </w:t>
            </w:r>
            <w:hyperlink r:id="rId10" w:history="1">
              <w:r w:rsidRPr="00846DB7">
                <w:rPr>
                  <w:rStyle w:val="Hyperlink"/>
                  <w:rFonts w:asciiTheme="minorHAnsi" w:eastAsia="Times New Roman" w:hAnsiTheme="minorHAnsi" w:cstheme="minorHAnsi"/>
                  <w:bCs/>
                  <w:sz w:val="24"/>
                  <w:szCs w:val="24"/>
                </w:rPr>
                <w:t>fmoit@fmoit.gov.ba</w:t>
              </w:r>
            </w:hyperlink>
          </w:p>
          <w:p w14:paraId="62833828" w14:textId="55034C97" w:rsidR="00846DB7" w:rsidRPr="006B3E61" w:rsidRDefault="00846DB7" w:rsidP="00846DB7">
            <w:pPr>
              <w:pStyle w:val="Other0"/>
              <w:spacing w:after="0"/>
              <w:rPr>
                <w:rFonts w:asciiTheme="minorHAnsi" w:eastAsia="Times New Roman" w:hAnsiTheme="minorHAnsi" w:cstheme="minorHAnsi"/>
                <w:b/>
                <w:color w:val="auto"/>
                <w:sz w:val="24"/>
                <w:szCs w:val="24"/>
              </w:rPr>
            </w:pPr>
          </w:p>
        </w:tc>
        <w:tc>
          <w:tcPr>
            <w:tcW w:w="4609" w:type="dxa"/>
            <w:tcBorders>
              <w:top w:val="single" w:sz="4" w:space="0" w:color="auto"/>
              <w:left w:val="single" w:sz="4" w:space="0" w:color="auto"/>
              <w:bottom w:val="single" w:sz="4" w:space="0" w:color="auto"/>
              <w:right w:val="single" w:sz="4" w:space="0" w:color="auto"/>
            </w:tcBorders>
            <w:shd w:val="clear" w:color="auto" w:fill="FFFFFF"/>
            <w:vAlign w:val="center"/>
          </w:tcPr>
          <w:p w14:paraId="295F5861" w14:textId="441A5F4E" w:rsidR="006C2BD5" w:rsidRDefault="006C2BD5" w:rsidP="006C2BD5">
            <w:pPr>
              <w:pStyle w:val="Other0"/>
              <w:spacing w:after="0"/>
              <w:rPr>
                <w:rFonts w:asciiTheme="minorHAnsi" w:hAnsiTheme="minorHAnsi" w:cstheme="minorHAnsi"/>
                <w:color w:val="auto"/>
                <w:sz w:val="24"/>
                <w:szCs w:val="24"/>
              </w:rPr>
            </w:pPr>
            <w:r w:rsidRPr="006B3E61">
              <w:rPr>
                <w:rFonts w:asciiTheme="minorHAnsi" w:hAnsiTheme="minorHAnsi" w:cstheme="minorHAnsi"/>
                <w:color w:val="auto"/>
                <w:sz w:val="24"/>
                <w:szCs w:val="24"/>
              </w:rPr>
              <w:t xml:space="preserve">Ministry of Physical Planning, Construction and Ecology of the Republic of Srpska </w:t>
            </w:r>
            <w:r>
              <w:rPr>
                <w:rFonts w:asciiTheme="minorHAnsi" w:hAnsiTheme="minorHAnsi" w:cstheme="minorHAnsi"/>
                <w:color w:val="auto"/>
                <w:sz w:val="24"/>
                <w:szCs w:val="24"/>
              </w:rPr>
              <w:br/>
            </w:r>
            <w:r w:rsidRPr="006B3E61">
              <w:rPr>
                <w:rFonts w:asciiTheme="minorHAnsi" w:hAnsiTheme="minorHAnsi" w:cstheme="minorHAnsi"/>
                <w:color w:val="auto"/>
                <w:sz w:val="24"/>
                <w:szCs w:val="24"/>
              </w:rPr>
              <w:t>Address: Trg Republike Srpske</w:t>
            </w:r>
            <w:r w:rsidR="008D758B">
              <w:rPr>
                <w:rFonts w:asciiTheme="minorHAnsi" w:hAnsiTheme="minorHAnsi" w:cstheme="minorHAnsi"/>
                <w:color w:val="auto"/>
                <w:sz w:val="24"/>
                <w:szCs w:val="24"/>
              </w:rPr>
              <w:t xml:space="preserve"> 1</w:t>
            </w:r>
            <w:r>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78000 Banja Luka</w:t>
            </w:r>
          </w:p>
          <w:p w14:paraId="49CE4499" w14:textId="77777777" w:rsidR="006C2BD5" w:rsidRPr="006B3E61" w:rsidRDefault="006C2BD5" w:rsidP="006C2BD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Tel: 051/ 339 520, 051/ 339 592 </w:t>
            </w:r>
          </w:p>
          <w:p w14:paraId="092A86BD" w14:textId="77777777" w:rsidR="006C2BD5" w:rsidRPr="006B3E61" w:rsidRDefault="006C2BD5" w:rsidP="006C2BD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Fax: 051/ 339 653</w:t>
            </w:r>
          </w:p>
          <w:p w14:paraId="3EB7A47B" w14:textId="226AA62A" w:rsidR="006C2BD5" w:rsidRPr="006B3E61" w:rsidRDefault="006C2BD5" w:rsidP="006C2BD5">
            <w:pPr>
              <w:rPr>
                <w:rFonts w:asciiTheme="minorHAnsi" w:eastAsia="Times New Roman" w:hAnsiTheme="minorHAnsi" w:cstheme="minorHAnsi"/>
                <w:b/>
                <w:color w:val="auto"/>
              </w:rPr>
            </w:pPr>
            <w:r w:rsidRPr="006B3E61">
              <w:rPr>
                <w:rFonts w:asciiTheme="minorHAnsi" w:hAnsiTheme="minorHAnsi" w:cstheme="minorHAnsi"/>
                <w:color w:val="auto"/>
              </w:rPr>
              <w:t xml:space="preserve">E-mail: </w:t>
            </w:r>
            <w:hyperlink r:id="rId11" w:history="1">
              <w:r w:rsidRPr="00955C07">
                <w:rPr>
                  <w:rStyle w:val="Hyperlink"/>
                  <w:rFonts w:asciiTheme="minorHAnsi" w:hAnsiTheme="minorHAnsi" w:cstheme="minorHAnsi"/>
                </w:rPr>
                <w:t>kabinetministra@mgr.vladars.net</w:t>
              </w:r>
            </w:hyperlink>
          </w:p>
        </w:tc>
      </w:tr>
      <w:tr w:rsidR="00A7561A" w:rsidRPr="006B3E61" w14:paraId="2C4D299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F226C0" w14:textId="77777777" w:rsidR="001440D1" w:rsidRPr="006B3E61" w:rsidRDefault="001440D1" w:rsidP="001440D1">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List of affected Parties to which notification is being sent</w:t>
            </w:r>
          </w:p>
          <w:p w14:paraId="32BA3342" w14:textId="0DF27A08" w:rsidR="001440D1" w:rsidRPr="003A0E5F" w:rsidRDefault="006D110D" w:rsidP="001440D1">
            <w:pPr>
              <w:pStyle w:val="Other0"/>
              <w:spacing w:after="120"/>
              <w:rPr>
                <w:rFonts w:asciiTheme="minorHAnsi" w:eastAsia="Times New Roman" w:hAnsiTheme="minorHAnsi" w:cstheme="minorHAnsi"/>
                <w:bCs/>
                <w:color w:val="auto"/>
                <w:sz w:val="24"/>
                <w:szCs w:val="24"/>
                <w:lang w:val="sr-Latn-RS"/>
              </w:rPr>
            </w:pPr>
            <w:r w:rsidRPr="003A0E5F">
              <w:rPr>
                <w:rFonts w:asciiTheme="minorHAnsi" w:eastAsia="Times New Roman" w:hAnsiTheme="minorHAnsi" w:cstheme="minorHAnsi"/>
                <w:bCs/>
                <w:color w:val="auto"/>
                <w:sz w:val="24"/>
                <w:szCs w:val="24"/>
              </w:rPr>
              <w:t>B</w:t>
            </w:r>
            <w:r w:rsidR="003A0E5F" w:rsidRPr="003A0E5F">
              <w:rPr>
                <w:rFonts w:asciiTheme="minorHAnsi" w:eastAsia="Times New Roman" w:hAnsiTheme="minorHAnsi" w:cstheme="minorHAnsi"/>
                <w:bCs/>
                <w:color w:val="auto"/>
                <w:sz w:val="24"/>
                <w:szCs w:val="24"/>
              </w:rPr>
              <w:t xml:space="preserve">osnia and </w:t>
            </w:r>
            <w:r w:rsidRPr="003A0E5F">
              <w:rPr>
                <w:rFonts w:asciiTheme="minorHAnsi" w:eastAsia="Times New Roman" w:hAnsiTheme="minorHAnsi" w:cstheme="minorHAnsi"/>
                <w:bCs/>
                <w:color w:val="auto"/>
                <w:sz w:val="24"/>
                <w:szCs w:val="24"/>
              </w:rPr>
              <w:t>H</w:t>
            </w:r>
            <w:r w:rsidR="003A0E5F" w:rsidRPr="003A0E5F">
              <w:rPr>
                <w:rFonts w:asciiTheme="minorHAnsi" w:eastAsia="Times New Roman" w:hAnsiTheme="minorHAnsi" w:cstheme="minorHAnsi"/>
                <w:bCs/>
                <w:color w:val="auto"/>
                <w:sz w:val="24"/>
                <w:szCs w:val="24"/>
              </w:rPr>
              <w:t>er</w:t>
            </w:r>
            <w:r w:rsidR="00A44E0F">
              <w:rPr>
                <w:rFonts w:asciiTheme="minorHAnsi" w:eastAsia="Times New Roman" w:hAnsiTheme="minorHAnsi" w:cstheme="minorHAnsi"/>
                <w:bCs/>
                <w:color w:val="auto"/>
                <w:sz w:val="24"/>
                <w:szCs w:val="24"/>
              </w:rPr>
              <w:t>z</w:t>
            </w:r>
            <w:r w:rsidR="003A0E5F" w:rsidRPr="003A0E5F">
              <w:rPr>
                <w:rFonts w:asciiTheme="minorHAnsi" w:eastAsia="Times New Roman" w:hAnsiTheme="minorHAnsi" w:cstheme="minorHAnsi"/>
                <w:bCs/>
                <w:color w:val="auto"/>
                <w:sz w:val="24"/>
                <w:szCs w:val="24"/>
              </w:rPr>
              <w:t>egovina</w:t>
            </w:r>
          </w:p>
        </w:tc>
      </w:tr>
      <w:tr w:rsidR="00D66282" w:rsidRPr="00015B85" w14:paraId="68802213"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64BBA9" w14:textId="4683CB28"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(ii) Points of contact for the Party of origin</w:t>
            </w:r>
          </w:p>
        </w:tc>
      </w:tr>
      <w:tr w:rsidR="00A7561A" w:rsidRPr="006B3E61" w14:paraId="4D7B4774"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15913A" w14:textId="77777777" w:rsidR="001440D1" w:rsidRPr="006B3E61" w:rsidRDefault="001440D1" w:rsidP="001440D1">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Authority responsible for coordinating activities relating to the EIA (refer to decision I/3, appendix) - Name, address, telephone and fax numbers</w:t>
            </w:r>
          </w:p>
          <w:p w14:paraId="3DC78356" w14:textId="77777777" w:rsidR="006470D2" w:rsidRPr="006B3E61" w:rsidRDefault="006470D2" w:rsidP="006470D2">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Ministry of Environmental Protection of the Republic of Serbia</w:t>
            </w:r>
          </w:p>
          <w:p w14:paraId="2A065236" w14:textId="0F3215FB"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Bulevar Mihajla Pupina</w:t>
            </w:r>
            <w:r w:rsidR="00240AC4">
              <w:rPr>
                <w:rFonts w:asciiTheme="minorHAnsi" w:eastAsia="Times New Roman" w:hAnsiTheme="minorHAnsi" w:cstheme="minorHAnsi"/>
                <w:b/>
                <w:color w:val="auto"/>
                <w:sz w:val="24"/>
                <w:szCs w:val="24"/>
              </w:rPr>
              <w:t xml:space="preserve"> </w:t>
            </w:r>
            <w:r w:rsidR="00240AC4" w:rsidRPr="006B3E61">
              <w:rPr>
                <w:rFonts w:asciiTheme="minorHAnsi" w:eastAsia="Times New Roman" w:hAnsiTheme="minorHAnsi" w:cstheme="minorHAnsi"/>
                <w:b/>
                <w:color w:val="auto"/>
                <w:sz w:val="24"/>
                <w:szCs w:val="24"/>
              </w:rPr>
              <w:t>2</w:t>
            </w:r>
          </w:p>
          <w:p w14:paraId="4F8C9E89"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11070 Belgrade, Serbia</w:t>
            </w:r>
          </w:p>
          <w:p w14:paraId="60AABB18"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Telephone: 011/3110-271; 011/3110-245</w:t>
            </w:r>
          </w:p>
          <w:p w14:paraId="10D872F2"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Fax: 011/3110-298</w:t>
            </w:r>
          </w:p>
          <w:p w14:paraId="5C30C021" w14:textId="5ABE5E9E" w:rsidR="006470D2" w:rsidRDefault="006470D2" w:rsidP="006470D2">
            <w:pPr>
              <w:pStyle w:val="Other0"/>
              <w:spacing w:after="0"/>
              <w:rPr>
                <w:rFonts w:asciiTheme="minorHAnsi" w:hAnsiTheme="minorHAnsi" w:cstheme="minorHAnsi"/>
                <w:color w:val="auto"/>
                <w:sz w:val="24"/>
                <w:szCs w:val="24"/>
              </w:rPr>
            </w:pPr>
            <w:r w:rsidRPr="006B3E61">
              <w:rPr>
                <w:rFonts w:asciiTheme="minorHAnsi" w:eastAsia="Times New Roman" w:hAnsiTheme="minorHAnsi" w:cstheme="minorHAnsi"/>
                <w:b/>
                <w:color w:val="auto"/>
                <w:sz w:val="24"/>
                <w:szCs w:val="24"/>
              </w:rPr>
              <w:t>email: kabinet@ekologija.gov.rs</w:t>
            </w:r>
          </w:p>
          <w:p w14:paraId="16A83162" w14:textId="49A35A8F" w:rsidR="001440D1" w:rsidRPr="006B3E61" w:rsidRDefault="001440D1" w:rsidP="00015B85">
            <w:pPr>
              <w:pStyle w:val="Other0"/>
              <w:spacing w:after="0"/>
              <w:rPr>
                <w:rFonts w:asciiTheme="minorHAnsi" w:eastAsia="Times New Roman" w:hAnsiTheme="minorHAnsi" w:cstheme="minorHAnsi"/>
                <w:b/>
                <w:bCs/>
                <w:color w:val="auto"/>
                <w:sz w:val="24"/>
                <w:szCs w:val="24"/>
                <w:lang w:val="sr-Latn-RS"/>
              </w:rPr>
            </w:pPr>
          </w:p>
        </w:tc>
      </w:tr>
      <w:tr w:rsidR="00A7561A" w:rsidRPr="006B3E61" w14:paraId="46C91E7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9C83BF" w14:textId="77777777" w:rsidR="001440D1" w:rsidRPr="006B3E61" w:rsidRDefault="001440D1" w:rsidP="001440D1">
            <w:pPr>
              <w:pStyle w:val="Other0"/>
              <w:spacing w:after="10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Decision-making authority if different than authority responsible for coordinating activities relating to the EIA</w:t>
            </w:r>
          </w:p>
          <w:p w14:paraId="62772714" w14:textId="68C67C2C" w:rsidR="001440D1" w:rsidRPr="00015B85" w:rsidRDefault="001440D1" w:rsidP="001440D1">
            <w:pPr>
              <w:pStyle w:val="Other0"/>
              <w:rPr>
                <w:rFonts w:asciiTheme="minorHAnsi" w:hAnsiTheme="minorHAnsi" w:cstheme="minorHAnsi"/>
                <w:b/>
                <w:bCs/>
                <w:color w:val="auto"/>
                <w:sz w:val="24"/>
                <w:szCs w:val="24"/>
                <w:lang w:val="sr-Latn-RS"/>
              </w:rPr>
            </w:pPr>
            <w:r w:rsidRPr="00015B85">
              <w:rPr>
                <w:rFonts w:asciiTheme="minorHAnsi" w:eastAsia="Times New Roman" w:hAnsiTheme="minorHAnsi" w:cstheme="minorHAnsi"/>
                <w:b/>
                <w:color w:val="auto"/>
                <w:sz w:val="24"/>
                <w:szCs w:val="24"/>
              </w:rPr>
              <w:t>Name, address, telephone and fax numbers</w:t>
            </w:r>
          </w:p>
          <w:p w14:paraId="309F43A2"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Ministry of Environmental Protection of the Republic of Serbia</w:t>
            </w:r>
          </w:p>
          <w:p w14:paraId="68F2681A" w14:textId="01ECEF01"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Bulevar Mihajla Pupina</w:t>
            </w:r>
            <w:r w:rsidR="00240AC4">
              <w:rPr>
                <w:rFonts w:asciiTheme="minorHAnsi" w:eastAsia="Times New Roman" w:hAnsiTheme="minorHAnsi" w:cstheme="minorHAnsi"/>
                <w:color w:val="auto"/>
                <w:sz w:val="24"/>
                <w:szCs w:val="24"/>
              </w:rPr>
              <w:t xml:space="preserve"> 2</w:t>
            </w:r>
          </w:p>
          <w:p w14:paraId="3690ADE0"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11070 Belgrade, Serbia</w:t>
            </w:r>
          </w:p>
          <w:p w14:paraId="676B2A96"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Telephone: 011/3110-271; 011/3110-245</w:t>
            </w:r>
          </w:p>
          <w:p w14:paraId="154DAFE2"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Fax: 011/3110-298</w:t>
            </w:r>
          </w:p>
          <w:p w14:paraId="0D711897" w14:textId="60614073" w:rsidR="001440D1" w:rsidRPr="006B3E61" w:rsidRDefault="006D110D" w:rsidP="00015B85">
            <w:pPr>
              <w:pStyle w:val="Other0"/>
              <w:spacing w:after="0"/>
              <w:rPr>
                <w:rFonts w:asciiTheme="minorHAnsi" w:eastAsia="Times New Roman" w:hAnsiTheme="minorHAnsi" w:cstheme="minorHAnsi"/>
                <w:b/>
                <w:bCs/>
                <w:color w:val="auto"/>
                <w:sz w:val="24"/>
                <w:szCs w:val="24"/>
                <w:lang w:val="sr-Latn-RS"/>
              </w:rPr>
            </w:pPr>
            <w:r w:rsidRPr="00015B85">
              <w:rPr>
                <w:rFonts w:asciiTheme="minorHAnsi" w:eastAsia="Times New Roman" w:hAnsiTheme="minorHAnsi" w:cstheme="minorHAnsi"/>
                <w:color w:val="auto"/>
                <w:sz w:val="24"/>
                <w:szCs w:val="24"/>
              </w:rPr>
              <w:t>email: kabinet@ekologija.gov.rs</w:t>
            </w:r>
          </w:p>
        </w:tc>
      </w:tr>
      <w:tr w:rsidR="00D66282" w:rsidRPr="00015B85" w14:paraId="7201CAC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992A8A" w14:textId="21683149"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3. INFORMATION ON THE EIA PROCESS IN THE COUNTRY WHERE THE PROPOSED ACTIVITY IS LOCATED</w:t>
            </w:r>
          </w:p>
        </w:tc>
      </w:tr>
      <w:tr w:rsidR="00D66282" w:rsidRPr="00015B85" w14:paraId="7626833F"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CDC5B5" w14:textId="35379077"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 Information on the EIA process that will be applied to the proposed activity</w:t>
            </w:r>
          </w:p>
        </w:tc>
      </w:tr>
      <w:tr w:rsidR="006D110D" w:rsidRPr="006B3E61" w14:paraId="36DD0CE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AE01FE" w14:textId="77777777" w:rsidR="006D110D" w:rsidRPr="006B3E61" w:rsidRDefault="006D110D" w:rsidP="006D110D">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 xml:space="preserve">Time schedule: </w:t>
            </w:r>
          </w:p>
          <w:p w14:paraId="3E860791" w14:textId="7CABEF79"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A7561A" w:rsidRPr="006B3E61" w14:paraId="6CFC2AA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A3DBE"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Opportunities for the affected Party or Parties to be involved in the EIA process:</w:t>
            </w:r>
          </w:p>
          <w:p w14:paraId="5945FCB2" w14:textId="45A2DD3A" w:rsidR="006D110D" w:rsidRPr="006B3E61" w:rsidRDefault="006D110D" w:rsidP="00015B85">
            <w:pPr>
              <w:pStyle w:val="Other0"/>
              <w:spacing w:after="10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Affected Party and Parties are involved in EIA process in accordance with Law on Environmental Impact Assessment</w:t>
            </w:r>
          </w:p>
        </w:tc>
      </w:tr>
      <w:tr w:rsidR="00A7561A" w:rsidRPr="006B3E61" w14:paraId="64F07B9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92D707"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Opportunities for the affected Party or Parties to review and comment on the notification and the EIA documentation:</w:t>
            </w:r>
          </w:p>
          <w:p w14:paraId="57B9EFE8" w14:textId="74E1859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According to the Law on Environmental Impact Assessment, interested bodies and organization and interested public may submit their submit their opinions within: </w:t>
            </w:r>
          </w:p>
          <w:p w14:paraId="13357B9D"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  15 days on the Request for Establishing the Scope and Contents and </w:t>
            </w:r>
          </w:p>
          <w:p w14:paraId="05D3F1D5"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  20 days on the Environmental Impact Assessment Study </w:t>
            </w:r>
          </w:p>
          <w:p w14:paraId="0C872EF4" w14:textId="77777777" w:rsidR="006D110D"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starting on the date of receiving and publishing on the website of Ministry.</w:t>
            </w:r>
          </w:p>
          <w:p w14:paraId="4CE76A94" w14:textId="7559AE78" w:rsidR="00015B85" w:rsidRPr="006B3E61" w:rsidRDefault="00015B85" w:rsidP="00015B85">
            <w:pPr>
              <w:pStyle w:val="Other0"/>
              <w:spacing w:after="0"/>
              <w:rPr>
                <w:rFonts w:asciiTheme="minorHAnsi" w:eastAsia="Times New Roman" w:hAnsiTheme="minorHAnsi" w:cstheme="minorHAnsi"/>
                <w:b/>
                <w:bCs/>
                <w:color w:val="auto"/>
                <w:sz w:val="24"/>
                <w:szCs w:val="24"/>
                <w:lang w:val="sr-Latn-RS"/>
              </w:rPr>
            </w:pPr>
          </w:p>
        </w:tc>
      </w:tr>
      <w:tr w:rsidR="006D110D" w:rsidRPr="006B3E61" w14:paraId="507DAD05"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8B703"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Nature and timing of the possible decision:</w:t>
            </w:r>
          </w:p>
          <w:p w14:paraId="78C24929" w14:textId="0ACEE9AB"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6D110D" w:rsidRPr="006B3E61" w14:paraId="017A70F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100611"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Process for approval of the proposed activity:</w:t>
            </w:r>
          </w:p>
          <w:p w14:paraId="00636DDD" w14:textId="3EE709AE"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6D110D" w:rsidRPr="006B3E61" w14:paraId="1715BA4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C94F40" w14:textId="77777777" w:rsidR="006D110D" w:rsidRPr="006B3E61" w:rsidRDefault="006D110D" w:rsidP="006D110D">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514D21C7" w14:textId="406B39C5"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D66282" w:rsidRPr="00015B85" w14:paraId="4AA84431"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FFE2B0" w14:textId="7CBCFC2C"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lastRenderedPageBreak/>
              <w:t>4. INFORMATION ON THE PUBLIC PARTICIPATION PROCESS IN THE COUNTRY OF ORIGIN</w:t>
            </w:r>
          </w:p>
        </w:tc>
      </w:tr>
      <w:tr w:rsidR="00A7561A" w:rsidRPr="006B3E61" w14:paraId="051B35D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232010" w14:textId="77777777" w:rsidR="006D110D" w:rsidRPr="006B3E61" w:rsidRDefault="006D110D" w:rsidP="006D110D">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 xml:space="preserve">Public participation procedures: </w:t>
            </w:r>
          </w:p>
          <w:p w14:paraId="49A99D85" w14:textId="77777777" w:rsidR="006D110D" w:rsidRPr="006B3E61" w:rsidRDefault="006D110D" w:rsidP="006D110D">
            <w:pPr>
              <w:pStyle w:val="Other0"/>
              <w:spacing w:after="120"/>
              <w:rPr>
                <w:rFonts w:asciiTheme="minorHAnsi" w:hAnsiTheme="minorHAnsi" w:cstheme="minorHAnsi"/>
                <w:color w:val="auto"/>
                <w:sz w:val="24"/>
                <w:szCs w:val="24"/>
                <w:lang w:val="sr-Latn-RS"/>
              </w:rPr>
            </w:pPr>
          </w:p>
          <w:p w14:paraId="344CE5DE" w14:textId="1246C654" w:rsidR="006D110D" w:rsidRPr="006B3E61" w:rsidRDefault="006D110D" w:rsidP="00015B85">
            <w:pPr>
              <w:pStyle w:val="Other0"/>
              <w:spacing w:aft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Under the Environmental Impact Assessment Law (Official Gazette RS, No. 135/04, 36/09), all stakeholders (authorities, organizations and the public) may review and provide their opinion during the entire environmental impact assessment procedure, from the time of application for determining the scope and contents of the EIA Study until its approval by the ministry in charge for environmental protection.</w:t>
            </w:r>
          </w:p>
        </w:tc>
      </w:tr>
      <w:tr w:rsidR="006D110D" w:rsidRPr="006B3E61" w14:paraId="6F26C869"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D2A6A7"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Expected start and duration of public consultation</w:t>
            </w:r>
          </w:p>
          <w:p w14:paraId="7FEE2C4F" w14:textId="7339D7DA" w:rsidR="006D110D" w:rsidRPr="006B3E61" w:rsidRDefault="00F77328" w:rsidP="006D110D">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Expected start of public consultation is </w:t>
            </w:r>
            <w:r w:rsidR="00D25B8B">
              <w:rPr>
                <w:rFonts w:asciiTheme="minorHAnsi" w:hAnsiTheme="minorHAnsi" w:cstheme="minorHAnsi"/>
                <w:color w:val="auto"/>
                <w:sz w:val="24"/>
                <w:szCs w:val="24"/>
              </w:rPr>
              <w:t xml:space="preserve">September </w:t>
            </w:r>
            <w:r w:rsidRPr="006B3E61">
              <w:rPr>
                <w:rFonts w:asciiTheme="minorHAnsi" w:hAnsiTheme="minorHAnsi" w:cstheme="minorHAnsi"/>
                <w:color w:val="auto"/>
                <w:sz w:val="24"/>
                <w:szCs w:val="24"/>
              </w:rPr>
              <w:t>202</w:t>
            </w:r>
            <w:r w:rsidR="00D25B8B">
              <w:rPr>
                <w:rFonts w:asciiTheme="minorHAnsi" w:hAnsiTheme="minorHAnsi" w:cstheme="minorHAnsi"/>
                <w:color w:val="auto"/>
                <w:sz w:val="24"/>
                <w:szCs w:val="24"/>
              </w:rPr>
              <w:t>4</w:t>
            </w:r>
            <w:r w:rsidRPr="006B3E61">
              <w:rPr>
                <w:rFonts w:asciiTheme="minorHAnsi" w:hAnsiTheme="minorHAnsi" w:cstheme="minorHAnsi"/>
                <w:color w:val="auto"/>
                <w:sz w:val="24"/>
                <w:szCs w:val="24"/>
              </w:rPr>
              <w:t>.</w:t>
            </w:r>
          </w:p>
        </w:tc>
      </w:tr>
      <w:tr w:rsidR="006D110D" w:rsidRPr="006B3E61" w14:paraId="53DEA67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4C4E7B" w14:textId="77777777" w:rsidR="006D110D" w:rsidRPr="006B3E61" w:rsidRDefault="006D110D" w:rsidP="006D110D">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3DE34BC5" w14:textId="32FEDE6D"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D66282" w:rsidRPr="00015B85" w14:paraId="47DE60B9"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A63F7D" w14:textId="2FC41FCF"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5. DEADLINE FOR RESPONSE</w:t>
            </w:r>
          </w:p>
        </w:tc>
      </w:tr>
      <w:tr w:rsidR="006D110D" w:rsidRPr="006B3E61" w14:paraId="07CAA2B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05117B" w14:textId="77777777" w:rsidR="006D110D" w:rsidRPr="006B3E61" w:rsidRDefault="006D110D" w:rsidP="006D110D">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 xml:space="preserve">Date: </w:t>
            </w:r>
          </w:p>
          <w:p w14:paraId="2099F104" w14:textId="77777777" w:rsidR="00F77328" w:rsidRPr="006B3E61" w:rsidRDefault="00F77328" w:rsidP="006D110D">
            <w:pPr>
              <w:pStyle w:val="Other0"/>
              <w:spacing w:after="120"/>
              <w:rPr>
                <w:rFonts w:asciiTheme="minorHAnsi" w:hAnsiTheme="minorHAnsi" w:cstheme="minorHAnsi"/>
                <w:color w:val="auto"/>
                <w:sz w:val="24"/>
                <w:szCs w:val="24"/>
                <w:lang w:val="sr-Latn-RS"/>
              </w:rPr>
            </w:pPr>
          </w:p>
          <w:p w14:paraId="04FA0CD3" w14:textId="4754793F" w:rsidR="006D110D" w:rsidRPr="006B3E61" w:rsidRDefault="00E8053A" w:rsidP="006D110D">
            <w:pPr>
              <w:pStyle w:val="Other0"/>
              <w:spacing w:after="120"/>
              <w:rPr>
                <w:rFonts w:asciiTheme="minorHAnsi" w:eastAsia="Times New Roman" w:hAnsiTheme="minorHAnsi" w:cstheme="minorHAnsi"/>
                <w:b/>
                <w:bCs/>
                <w:color w:val="auto"/>
                <w:sz w:val="24"/>
                <w:szCs w:val="24"/>
                <w:lang w:val="sr-Latn-RS"/>
              </w:rPr>
            </w:pPr>
            <w:r>
              <w:rPr>
                <w:rFonts w:asciiTheme="minorHAnsi" w:hAnsiTheme="minorHAnsi" w:cstheme="minorHAnsi"/>
                <w:color w:val="auto"/>
                <w:sz w:val="24"/>
                <w:szCs w:val="24"/>
              </w:rPr>
              <w:t>15</w:t>
            </w:r>
            <w:r w:rsidR="00F77328" w:rsidRPr="006B3E61">
              <w:rPr>
                <w:rFonts w:asciiTheme="minorHAnsi" w:hAnsiTheme="minorHAnsi" w:cstheme="minorHAnsi"/>
                <w:color w:val="auto"/>
                <w:sz w:val="24"/>
                <w:szCs w:val="24"/>
              </w:rPr>
              <w:t xml:space="preserve"> days after receiving the notification by the affected party</w:t>
            </w:r>
          </w:p>
        </w:tc>
      </w:tr>
    </w:tbl>
    <w:p w14:paraId="5503C021" w14:textId="485205DD" w:rsidR="00535D4C" w:rsidRPr="006B3E61" w:rsidRDefault="00535D4C">
      <w:pPr>
        <w:spacing w:line="360" w:lineRule="exact"/>
        <w:rPr>
          <w:rFonts w:asciiTheme="minorHAnsi" w:hAnsiTheme="minorHAnsi" w:cstheme="minorHAnsi"/>
          <w:color w:val="auto"/>
          <w:lang w:val="sr-Latn-RS"/>
        </w:rPr>
      </w:pPr>
    </w:p>
    <w:p w14:paraId="0DB7BB31" w14:textId="5C94FA5A" w:rsidR="00644DA6" w:rsidRPr="006B3E61" w:rsidRDefault="00644DA6">
      <w:pPr>
        <w:spacing w:line="360" w:lineRule="exact"/>
        <w:rPr>
          <w:rFonts w:asciiTheme="minorHAnsi" w:hAnsiTheme="minorHAnsi" w:cstheme="minorHAnsi"/>
          <w:color w:val="auto"/>
          <w:lang w:val="sr-Latn-RS"/>
        </w:rPr>
      </w:pPr>
    </w:p>
    <w:p w14:paraId="5A552756" w14:textId="5F8B4872" w:rsidR="00644DA6" w:rsidRPr="006B3E61" w:rsidRDefault="002C2CAE" w:rsidP="002C2CAE">
      <w:pPr>
        <w:tabs>
          <w:tab w:val="left" w:pos="2120"/>
        </w:tabs>
        <w:spacing w:line="360" w:lineRule="exact"/>
        <w:rPr>
          <w:rFonts w:asciiTheme="minorHAnsi" w:hAnsiTheme="minorHAnsi" w:cstheme="minorHAnsi"/>
          <w:color w:val="auto"/>
          <w:lang w:val="sr-Latn-RS"/>
        </w:rPr>
      </w:pPr>
      <w:r>
        <w:rPr>
          <w:rFonts w:asciiTheme="minorHAnsi" w:hAnsiTheme="minorHAnsi" w:cstheme="minorHAnsi"/>
          <w:color w:val="auto"/>
        </w:rPr>
        <w:tab/>
      </w:r>
    </w:p>
    <w:sectPr w:rsidR="00644DA6" w:rsidRPr="006B3E61" w:rsidSect="00632FBE">
      <w:footerReference w:type="default" r:id="rId12"/>
      <w:type w:val="continuous"/>
      <w:pgSz w:w="11900" w:h="16840" w:code="9"/>
      <w:pgMar w:top="1134" w:right="1134" w:bottom="1134" w:left="1134" w:header="1134" w:footer="50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48527" w14:textId="77777777" w:rsidR="00BE4AA2" w:rsidRDefault="00BE4AA2">
      <w:r>
        <w:separator/>
      </w:r>
    </w:p>
  </w:endnote>
  <w:endnote w:type="continuationSeparator" w:id="0">
    <w:p w14:paraId="5D89DB29" w14:textId="77777777" w:rsidR="00BE4AA2" w:rsidRDefault="00BE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4900695"/>
      <w:docPartObj>
        <w:docPartGallery w:val="Page Numbers (Bottom of Page)"/>
        <w:docPartUnique/>
      </w:docPartObj>
    </w:sdtPr>
    <w:sdtEndPr>
      <w:rPr>
        <w:noProof/>
      </w:rPr>
    </w:sdtEndPr>
    <w:sdtContent>
      <w:p w14:paraId="4F23B956" w14:textId="51BF42C7" w:rsidR="00240AC4" w:rsidRDefault="00240A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3B516A" w14:textId="77777777" w:rsidR="00240AC4" w:rsidRDefault="00240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AEEBC" w14:textId="77777777" w:rsidR="00BE4AA2" w:rsidRDefault="00BE4AA2"/>
  </w:footnote>
  <w:footnote w:type="continuationSeparator" w:id="0">
    <w:p w14:paraId="504D1948" w14:textId="77777777" w:rsidR="00BE4AA2" w:rsidRDefault="00BE4A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80074"/>
    <w:multiLevelType w:val="hybridMultilevel"/>
    <w:tmpl w:val="D094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E37B76"/>
    <w:multiLevelType w:val="multilevel"/>
    <w:tmpl w:val="5E2C16F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CD31D4"/>
    <w:multiLevelType w:val="hybridMultilevel"/>
    <w:tmpl w:val="8DB8547C"/>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36524A"/>
    <w:multiLevelType w:val="hybridMultilevel"/>
    <w:tmpl w:val="F3EAF176"/>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BA3660"/>
    <w:multiLevelType w:val="hybridMultilevel"/>
    <w:tmpl w:val="7CE6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34C68F8"/>
    <w:multiLevelType w:val="hybridMultilevel"/>
    <w:tmpl w:val="2A5A0862"/>
    <w:lvl w:ilvl="0" w:tplc="803E581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822">
    <w:abstractNumId w:val="1"/>
  </w:num>
  <w:num w:numId="2" w16cid:durableId="1788960849">
    <w:abstractNumId w:val="5"/>
  </w:num>
  <w:num w:numId="3" w16cid:durableId="325406345">
    <w:abstractNumId w:val="3"/>
  </w:num>
  <w:num w:numId="4" w16cid:durableId="501941760">
    <w:abstractNumId w:val="2"/>
  </w:num>
  <w:num w:numId="5" w16cid:durableId="1845052621">
    <w:abstractNumId w:val="4"/>
  </w:num>
  <w:num w:numId="6" w16cid:durableId="1394934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4C"/>
    <w:rsid w:val="00015B85"/>
    <w:rsid w:val="000A6FDE"/>
    <w:rsid w:val="001072F8"/>
    <w:rsid w:val="0011267D"/>
    <w:rsid w:val="0011626C"/>
    <w:rsid w:val="001440D1"/>
    <w:rsid w:val="001920FF"/>
    <w:rsid w:val="001B47C9"/>
    <w:rsid w:val="001C1646"/>
    <w:rsid w:val="001D24CA"/>
    <w:rsid w:val="002002F2"/>
    <w:rsid w:val="00240AC4"/>
    <w:rsid w:val="00241E40"/>
    <w:rsid w:val="002527D5"/>
    <w:rsid w:val="00256C4F"/>
    <w:rsid w:val="00283E04"/>
    <w:rsid w:val="002843D8"/>
    <w:rsid w:val="002A32B3"/>
    <w:rsid w:val="002A6216"/>
    <w:rsid w:val="002B681D"/>
    <w:rsid w:val="002C2CAE"/>
    <w:rsid w:val="002D22D7"/>
    <w:rsid w:val="002E71F2"/>
    <w:rsid w:val="002F08D5"/>
    <w:rsid w:val="002F6E6E"/>
    <w:rsid w:val="00320F45"/>
    <w:rsid w:val="003266F1"/>
    <w:rsid w:val="003A0E5F"/>
    <w:rsid w:val="003B0F83"/>
    <w:rsid w:val="003D1FB6"/>
    <w:rsid w:val="003E46F9"/>
    <w:rsid w:val="00446AB0"/>
    <w:rsid w:val="00451D32"/>
    <w:rsid w:val="004653F4"/>
    <w:rsid w:val="00475DF4"/>
    <w:rsid w:val="004D56C7"/>
    <w:rsid w:val="00505A99"/>
    <w:rsid w:val="00506473"/>
    <w:rsid w:val="00526B3C"/>
    <w:rsid w:val="00535D4C"/>
    <w:rsid w:val="00577F53"/>
    <w:rsid w:val="005860C2"/>
    <w:rsid w:val="005D4B17"/>
    <w:rsid w:val="005F1D40"/>
    <w:rsid w:val="00622D76"/>
    <w:rsid w:val="006237A5"/>
    <w:rsid w:val="00632FBE"/>
    <w:rsid w:val="00637BE6"/>
    <w:rsid w:val="00644DA6"/>
    <w:rsid w:val="006470D2"/>
    <w:rsid w:val="006957F2"/>
    <w:rsid w:val="006B3E61"/>
    <w:rsid w:val="006B684D"/>
    <w:rsid w:val="006C2BD5"/>
    <w:rsid w:val="006D110D"/>
    <w:rsid w:val="006F48DD"/>
    <w:rsid w:val="007020E5"/>
    <w:rsid w:val="0072186B"/>
    <w:rsid w:val="0072265C"/>
    <w:rsid w:val="007226AE"/>
    <w:rsid w:val="007C00A8"/>
    <w:rsid w:val="007C6073"/>
    <w:rsid w:val="007D23CD"/>
    <w:rsid w:val="007D4285"/>
    <w:rsid w:val="0080660A"/>
    <w:rsid w:val="00827A73"/>
    <w:rsid w:val="00846DB7"/>
    <w:rsid w:val="00851B0D"/>
    <w:rsid w:val="008A3E22"/>
    <w:rsid w:val="008D758B"/>
    <w:rsid w:val="008F1F88"/>
    <w:rsid w:val="00905708"/>
    <w:rsid w:val="00946E3D"/>
    <w:rsid w:val="009A49C4"/>
    <w:rsid w:val="009B0D25"/>
    <w:rsid w:val="009B4B63"/>
    <w:rsid w:val="00A04F32"/>
    <w:rsid w:val="00A240B3"/>
    <w:rsid w:val="00A44E0F"/>
    <w:rsid w:val="00A74F65"/>
    <w:rsid w:val="00A7561A"/>
    <w:rsid w:val="00A95950"/>
    <w:rsid w:val="00AB3399"/>
    <w:rsid w:val="00B31B03"/>
    <w:rsid w:val="00B47F25"/>
    <w:rsid w:val="00B617C3"/>
    <w:rsid w:val="00B733B8"/>
    <w:rsid w:val="00B9231F"/>
    <w:rsid w:val="00BC5E3D"/>
    <w:rsid w:val="00BE4AA2"/>
    <w:rsid w:val="00BE6839"/>
    <w:rsid w:val="00CD52DD"/>
    <w:rsid w:val="00CE1C59"/>
    <w:rsid w:val="00D05428"/>
    <w:rsid w:val="00D25B8B"/>
    <w:rsid w:val="00D26510"/>
    <w:rsid w:val="00D54C02"/>
    <w:rsid w:val="00D569B4"/>
    <w:rsid w:val="00D60543"/>
    <w:rsid w:val="00D66282"/>
    <w:rsid w:val="00D828B2"/>
    <w:rsid w:val="00DA2B13"/>
    <w:rsid w:val="00DB5FAA"/>
    <w:rsid w:val="00DF2404"/>
    <w:rsid w:val="00E6406C"/>
    <w:rsid w:val="00E8053A"/>
    <w:rsid w:val="00EA7809"/>
    <w:rsid w:val="00EC239B"/>
    <w:rsid w:val="00EC6C69"/>
    <w:rsid w:val="00EF2704"/>
    <w:rsid w:val="00F27C7E"/>
    <w:rsid w:val="00F77328"/>
    <w:rsid w:val="00FB0B22"/>
    <w:rsid w:val="00FB12EF"/>
    <w:rsid w:val="00FB4DE6"/>
    <w:rsid w:val="00FC1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77996"/>
  <w15:docId w15:val="{DB351DD5-67A1-4909-9961-FC9AFE4B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
    <w:name w:val="Other_"/>
    <w:basedOn w:val="DefaultParagraphFont"/>
    <w:link w:val="Other0"/>
    <w:rPr>
      <w:rFonts w:ascii="Arial" w:eastAsia="Arial" w:hAnsi="Arial" w:cs="Arial"/>
      <w:b w:val="0"/>
      <w:bCs w:val="0"/>
      <w:i w:val="0"/>
      <w:iCs w:val="0"/>
      <w:smallCaps w:val="0"/>
      <w:strike w:val="0"/>
      <w:sz w:val="22"/>
      <w:szCs w:val="22"/>
      <w:u w:val="none"/>
      <w:shd w:val="clear" w:color="auto" w:fill="auto"/>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22"/>
      <w:szCs w:val="22"/>
      <w:u w:val="none"/>
      <w:shd w:val="clear" w:color="auto" w:fill="auto"/>
    </w:rPr>
  </w:style>
  <w:style w:type="paragraph" w:customStyle="1" w:styleId="Other0">
    <w:name w:val="Other"/>
    <w:basedOn w:val="Normal"/>
    <w:link w:val="Other"/>
    <w:pPr>
      <w:spacing w:after="240"/>
    </w:pPr>
    <w:rPr>
      <w:rFonts w:ascii="Arial" w:eastAsia="Arial" w:hAnsi="Arial" w:cs="Arial"/>
      <w:sz w:val="22"/>
      <w:szCs w:val="22"/>
    </w:rPr>
  </w:style>
  <w:style w:type="paragraph" w:customStyle="1" w:styleId="Headerorfooter0">
    <w:name w:val="Header or footer"/>
    <w:basedOn w:val="Normal"/>
    <w:link w:val="Headerorfooter"/>
    <w:rPr>
      <w:rFonts w:ascii="Arial" w:eastAsia="Arial" w:hAnsi="Arial" w:cs="Arial"/>
      <w:sz w:val="22"/>
      <w:szCs w:val="22"/>
    </w:rPr>
  </w:style>
  <w:style w:type="paragraph" w:styleId="Header">
    <w:name w:val="header"/>
    <w:basedOn w:val="Normal"/>
    <w:link w:val="HeaderChar"/>
    <w:uiPriority w:val="99"/>
    <w:unhideWhenUsed/>
    <w:rsid w:val="00DF2404"/>
    <w:pPr>
      <w:tabs>
        <w:tab w:val="center" w:pos="4680"/>
        <w:tab w:val="right" w:pos="9360"/>
      </w:tabs>
    </w:pPr>
  </w:style>
  <w:style w:type="character" w:customStyle="1" w:styleId="HeaderChar">
    <w:name w:val="Header Char"/>
    <w:basedOn w:val="DefaultParagraphFont"/>
    <w:link w:val="Header"/>
    <w:uiPriority w:val="99"/>
    <w:rsid w:val="00DF2404"/>
    <w:rPr>
      <w:color w:val="000000"/>
    </w:rPr>
  </w:style>
  <w:style w:type="paragraph" w:styleId="Footer">
    <w:name w:val="footer"/>
    <w:basedOn w:val="Normal"/>
    <w:link w:val="FooterChar"/>
    <w:uiPriority w:val="99"/>
    <w:unhideWhenUsed/>
    <w:rsid w:val="00DF2404"/>
    <w:pPr>
      <w:tabs>
        <w:tab w:val="center" w:pos="4680"/>
        <w:tab w:val="right" w:pos="9360"/>
      </w:tabs>
    </w:pPr>
  </w:style>
  <w:style w:type="character" w:customStyle="1" w:styleId="FooterChar">
    <w:name w:val="Footer Char"/>
    <w:basedOn w:val="DefaultParagraphFont"/>
    <w:link w:val="Footer"/>
    <w:uiPriority w:val="99"/>
    <w:rsid w:val="00DF2404"/>
    <w:rPr>
      <w:color w:val="000000"/>
    </w:rPr>
  </w:style>
  <w:style w:type="paragraph" w:styleId="BodyText">
    <w:name w:val="Body Text"/>
    <w:basedOn w:val="Normal"/>
    <w:link w:val="BodyTextChar"/>
    <w:unhideWhenUsed/>
    <w:rsid w:val="00A95950"/>
    <w:pPr>
      <w:widowControl/>
      <w:spacing w:before="120" w:after="120"/>
      <w:jc w:val="both"/>
    </w:pPr>
    <w:rPr>
      <w:rFonts w:ascii="Calibri" w:eastAsia="Calibri" w:hAnsi="Calibri" w:cs="Times New Roman"/>
      <w:color w:val="auto"/>
      <w:spacing w:val="-4"/>
      <w:sz w:val="22"/>
      <w:szCs w:val="22"/>
      <w:lang w:val="sr-Latn-RS" w:bidi="ar-SA"/>
    </w:rPr>
  </w:style>
  <w:style w:type="character" w:customStyle="1" w:styleId="BodyTextChar">
    <w:name w:val="Body Text Char"/>
    <w:basedOn w:val="DefaultParagraphFont"/>
    <w:link w:val="BodyText"/>
    <w:rsid w:val="00A95950"/>
    <w:rPr>
      <w:rFonts w:ascii="Calibri" w:eastAsia="Calibri" w:hAnsi="Calibri" w:cs="Times New Roman"/>
      <w:spacing w:val="-4"/>
      <w:sz w:val="22"/>
      <w:szCs w:val="22"/>
      <w:lang w:val="sr-Latn-RS" w:bidi="ar-SA"/>
    </w:rPr>
  </w:style>
  <w:style w:type="character" w:styleId="Hyperlink">
    <w:name w:val="Hyperlink"/>
    <w:uiPriority w:val="99"/>
    <w:unhideWhenUsed/>
    <w:rsid w:val="001440D1"/>
    <w:rPr>
      <w:color w:val="0563C1"/>
      <w:u w:val="single"/>
    </w:rPr>
  </w:style>
  <w:style w:type="character" w:styleId="UnresolvedMention">
    <w:name w:val="Unresolved Mention"/>
    <w:basedOn w:val="DefaultParagraphFont"/>
    <w:uiPriority w:val="99"/>
    <w:semiHidden/>
    <w:unhideWhenUsed/>
    <w:rsid w:val="00EA7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01770">
      <w:bodyDiv w:val="1"/>
      <w:marLeft w:val="0"/>
      <w:marRight w:val="0"/>
      <w:marTop w:val="0"/>
      <w:marBottom w:val="0"/>
      <w:divBdr>
        <w:top w:val="none" w:sz="0" w:space="0" w:color="auto"/>
        <w:left w:val="none" w:sz="0" w:space="0" w:color="auto"/>
        <w:bottom w:val="none" w:sz="0" w:space="0" w:color="auto"/>
        <w:right w:val="none" w:sz="0" w:space="0" w:color="auto"/>
      </w:divBdr>
      <w:divsChild>
        <w:div w:id="1501001742">
          <w:marLeft w:val="0"/>
          <w:marRight w:val="0"/>
          <w:marTop w:val="0"/>
          <w:marBottom w:val="0"/>
          <w:divBdr>
            <w:top w:val="none" w:sz="0" w:space="0" w:color="auto"/>
            <w:left w:val="none" w:sz="0" w:space="0" w:color="auto"/>
            <w:bottom w:val="none" w:sz="0" w:space="0" w:color="auto"/>
            <w:right w:val="none" w:sz="0" w:space="0" w:color="auto"/>
          </w:divBdr>
        </w:div>
      </w:divsChild>
    </w:div>
    <w:div w:id="1708993569">
      <w:bodyDiv w:val="1"/>
      <w:marLeft w:val="0"/>
      <w:marRight w:val="0"/>
      <w:marTop w:val="0"/>
      <w:marBottom w:val="0"/>
      <w:divBdr>
        <w:top w:val="none" w:sz="0" w:space="0" w:color="auto"/>
        <w:left w:val="none" w:sz="0" w:space="0" w:color="auto"/>
        <w:bottom w:val="none" w:sz="0" w:space="0" w:color="auto"/>
        <w:right w:val="none" w:sz="0" w:space="0" w:color="auto"/>
      </w:divBdr>
      <w:divsChild>
        <w:div w:id="80150938">
          <w:marLeft w:val="0"/>
          <w:marRight w:val="0"/>
          <w:marTop w:val="0"/>
          <w:marBottom w:val="0"/>
          <w:divBdr>
            <w:top w:val="none" w:sz="0" w:space="0" w:color="auto"/>
            <w:left w:val="none" w:sz="0" w:space="0" w:color="auto"/>
            <w:bottom w:val="none" w:sz="0" w:space="0" w:color="auto"/>
            <w:right w:val="none" w:sz="0" w:space="0" w:color="auto"/>
          </w:divBdr>
        </w:div>
      </w:divsChild>
    </w:div>
    <w:div w:id="1908034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rbia@riotint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binetministra@mgr.vladars.net" TargetMode="External"/><Relationship Id="rId5" Type="http://schemas.openxmlformats.org/officeDocument/2006/relationships/footnotes" Target="footnotes.xml"/><Relationship Id="rId10" Type="http://schemas.openxmlformats.org/officeDocument/2006/relationships/hyperlink" Target="mailto:fmoit@fmoit.gov.ba" TargetMode="External"/><Relationship Id="rId4" Type="http://schemas.openxmlformats.org/officeDocument/2006/relationships/webSettings" Target="webSettings.xml"/><Relationship Id="rId9" Type="http://schemas.openxmlformats.org/officeDocument/2006/relationships/hyperlink" Target="http://www.riotinto.com/Jad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2207</Words>
  <Characters>12583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Aca</dc:creator>
  <cp:keywords/>
  <cp:lastModifiedBy>Rudic, Nikola (RTM)</cp:lastModifiedBy>
  <cp:revision>20</cp:revision>
  <dcterms:created xsi:type="dcterms:W3CDTF">2021-05-21T10:48:00Z</dcterms:created>
  <dcterms:modified xsi:type="dcterms:W3CDTF">2024-08-15T07:13:00Z</dcterms:modified>
</cp:coreProperties>
</file>