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CB3FD2" w14:textId="77777777" w:rsidR="009208E3" w:rsidRDefault="00000000" w:rsidP="00ED012E">
      <w:pPr>
        <w:spacing w:after="150"/>
        <w:jc w:val="right"/>
      </w:pPr>
      <w:proofErr w:type="spellStart"/>
      <w:r>
        <w:rPr>
          <w:color w:val="000000"/>
        </w:rPr>
        <w:t>Преузето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hyperlink r:id="rId4">
        <w:r>
          <w:rPr>
            <w:rStyle w:val="Hyperlink"/>
            <w:color w:val="337AB7"/>
          </w:rPr>
          <w:t>www.pravno-informacioni-sistem.rs</w:t>
        </w:r>
      </w:hyperlink>
    </w:p>
    <w:p w14:paraId="275C1B34" w14:textId="77777777" w:rsidR="009208E3" w:rsidRDefault="00000000" w:rsidP="00ED012E">
      <w:pPr>
        <w:spacing w:after="150"/>
        <w:jc w:val="right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11. </w:t>
      </w:r>
      <w:proofErr w:type="spellStart"/>
      <w:r>
        <w:rPr>
          <w:color w:val="000000"/>
        </w:rPr>
        <w:t>став</w:t>
      </w:r>
      <w:proofErr w:type="spellEnd"/>
      <w:r>
        <w:rPr>
          <w:color w:val="000000"/>
        </w:rPr>
        <w:t xml:space="preserve"> 3.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хемикалијама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>. 36/09, 88/10, 92/11, 93/12 и 25/15),</w:t>
      </w:r>
    </w:p>
    <w:p w14:paraId="138C7169" w14:textId="77777777" w:rsidR="009208E3" w:rsidRDefault="00000000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14:paraId="0DE7829E" w14:textId="77777777" w:rsidR="009208E3" w:rsidRDefault="00000000">
      <w:pPr>
        <w:spacing w:after="225"/>
        <w:jc w:val="center"/>
      </w:pPr>
      <w:r>
        <w:rPr>
          <w:b/>
          <w:color w:val="000000"/>
        </w:rPr>
        <w:t>ПРАВИЛНИК</w:t>
      </w:r>
    </w:p>
    <w:p w14:paraId="058AA717" w14:textId="77777777" w:rsidR="009208E3" w:rsidRDefault="00000000">
      <w:pPr>
        <w:spacing w:after="225"/>
        <w:jc w:val="center"/>
      </w:pPr>
      <w:r>
        <w:rPr>
          <w:b/>
          <w:color w:val="000000"/>
        </w:rPr>
        <w:t xml:space="preserve">о </w:t>
      </w:r>
      <w:proofErr w:type="spellStart"/>
      <w:r>
        <w:rPr>
          <w:b/>
          <w:color w:val="000000"/>
        </w:rPr>
        <w:t>Списку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класификованих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супстанци</w:t>
      </w:r>
      <w:proofErr w:type="spellEnd"/>
    </w:p>
    <w:p w14:paraId="3338DFF8" w14:textId="77777777" w:rsidR="009208E3" w:rsidRDefault="00000000">
      <w:pPr>
        <w:spacing w:after="120"/>
        <w:jc w:val="center"/>
      </w:pPr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41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18. </w:t>
      </w:r>
      <w:proofErr w:type="spellStart"/>
      <w:r>
        <w:rPr>
          <w:color w:val="000000"/>
        </w:rPr>
        <w:t>маја</w:t>
      </w:r>
      <w:proofErr w:type="spellEnd"/>
      <w:r>
        <w:rPr>
          <w:color w:val="000000"/>
        </w:rPr>
        <w:t xml:space="preserve"> 2023.</w:t>
      </w:r>
    </w:p>
    <w:p w14:paraId="27F4F2EE" w14:textId="77777777" w:rsidR="009208E3" w:rsidRDefault="0000000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</w:p>
    <w:p w14:paraId="7B185306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Списак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>.</w:t>
      </w:r>
    </w:p>
    <w:p w14:paraId="6F3600B7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Списак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одштампан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</w:p>
    <w:p w14:paraId="05C67049" w14:textId="77777777" w:rsidR="009208E3" w:rsidRDefault="0000000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</w:p>
    <w:p w14:paraId="28CE411D" w14:textId="77777777" w:rsidR="009208E3" w:rsidRDefault="00000000">
      <w:pPr>
        <w:spacing w:after="150"/>
      </w:pPr>
      <w:proofErr w:type="spellStart"/>
      <w:r>
        <w:rPr>
          <w:color w:val="000000"/>
        </w:rPr>
        <w:t>Списак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>:</w:t>
      </w:r>
    </w:p>
    <w:p w14:paraId="0BA4CFE7" w14:textId="77777777" w:rsidR="009208E3" w:rsidRDefault="00000000">
      <w:pPr>
        <w:spacing w:after="150"/>
      </w:pPr>
      <w:r>
        <w:rPr>
          <w:color w:val="000000"/>
        </w:rPr>
        <w:t xml:space="preserve">1) </w:t>
      </w:r>
      <w:proofErr w:type="spellStart"/>
      <w:r>
        <w:rPr>
          <w:color w:val="000000"/>
        </w:rPr>
        <w:t>Увод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Списак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</w:p>
    <w:p w14:paraId="4CC886A4" w14:textId="77777777" w:rsidR="009208E3" w:rsidRDefault="00000000">
      <w:pPr>
        <w:spacing w:after="150"/>
      </w:pPr>
      <w:r>
        <w:rPr>
          <w:color w:val="000000"/>
        </w:rPr>
        <w:t xml:space="preserve">2) </w:t>
      </w:r>
      <w:proofErr w:type="spellStart"/>
      <w:r>
        <w:rPr>
          <w:color w:val="000000"/>
        </w:rPr>
        <w:t>Табелу</w:t>
      </w:r>
      <w:proofErr w:type="spellEnd"/>
      <w:r>
        <w:rPr>
          <w:color w:val="000000"/>
        </w:rPr>
        <w:t xml:space="preserve"> 1. – </w:t>
      </w:r>
      <w:proofErr w:type="spellStart"/>
      <w:r>
        <w:rPr>
          <w:color w:val="000000"/>
        </w:rPr>
        <w:t>Списак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>.</w:t>
      </w:r>
    </w:p>
    <w:p w14:paraId="43E2247C" w14:textId="77777777" w:rsidR="009208E3" w:rsidRDefault="0000000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</w:p>
    <w:p w14:paraId="559E79E5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Даном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почетка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престаје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важи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Списку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РСˮ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22/20).</w:t>
      </w:r>
    </w:p>
    <w:p w14:paraId="3BB71FA8" w14:textId="77777777" w:rsidR="009208E3" w:rsidRDefault="00000000">
      <w:pPr>
        <w:spacing w:after="120"/>
        <w:jc w:val="center"/>
      </w:pPr>
      <w:proofErr w:type="spell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</w:p>
    <w:p w14:paraId="7B464539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Србијеˮ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септембра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  <w:r>
        <w:rPr>
          <w:color w:val="000000"/>
        </w:rPr>
        <w:t>.</w:t>
      </w:r>
    </w:p>
    <w:p w14:paraId="51DA89B3" w14:textId="77777777" w:rsidR="009208E3" w:rsidRDefault="00000000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110-00-00006/2023-03</w:t>
      </w:r>
    </w:p>
    <w:p w14:paraId="47E18ABE" w14:textId="77777777" w:rsidR="009208E3" w:rsidRDefault="00000000">
      <w:pPr>
        <w:spacing w:after="150"/>
        <w:jc w:val="right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 xml:space="preserve">, 4. </w:t>
      </w:r>
      <w:proofErr w:type="spellStart"/>
      <w:r>
        <w:rPr>
          <w:color w:val="000000"/>
        </w:rPr>
        <w:t>маја</w:t>
      </w:r>
      <w:proofErr w:type="spellEnd"/>
      <w:r>
        <w:rPr>
          <w:color w:val="000000"/>
        </w:rPr>
        <w:t xml:space="preserve"> 2023. </w:t>
      </w:r>
      <w:proofErr w:type="spellStart"/>
      <w:r>
        <w:rPr>
          <w:color w:val="000000"/>
        </w:rPr>
        <w:t>године</w:t>
      </w:r>
      <w:proofErr w:type="spellEnd"/>
    </w:p>
    <w:p w14:paraId="32947863" w14:textId="77777777" w:rsidR="009208E3" w:rsidRDefault="00000000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14:paraId="04DB2DE2" w14:textId="77777777" w:rsidR="009208E3" w:rsidRDefault="00000000">
      <w:pPr>
        <w:spacing w:after="150"/>
        <w:jc w:val="right"/>
        <w:rPr>
          <w:color w:val="000000"/>
        </w:rPr>
      </w:pPr>
      <w:proofErr w:type="spellStart"/>
      <w:r>
        <w:rPr>
          <w:b/>
          <w:color w:val="000000"/>
        </w:rPr>
        <w:t>Ирена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Вујовић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p w14:paraId="4B95076A" w14:textId="77777777" w:rsidR="00ED012E" w:rsidRDefault="00ED012E">
      <w:pPr>
        <w:spacing w:after="150"/>
        <w:jc w:val="right"/>
        <w:rPr>
          <w:color w:val="000000"/>
        </w:rPr>
      </w:pPr>
    </w:p>
    <w:p w14:paraId="52B0AFB2" w14:textId="77777777" w:rsidR="00ED012E" w:rsidRDefault="00ED012E">
      <w:pPr>
        <w:spacing w:after="150"/>
        <w:jc w:val="right"/>
        <w:rPr>
          <w:color w:val="000000"/>
        </w:rPr>
      </w:pPr>
    </w:p>
    <w:p w14:paraId="491AAFB2" w14:textId="77777777" w:rsidR="00ED012E" w:rsidRDefault="00ED012E">
      <w:pPr>
        <w:spacing w:after="150"/>
        <w:jc w:val="right"/>
        <w:rPr>
          <w:color w:val="000000"/>
        </w:rPr>
      </w:pPr>
    </w:p>
    <w:p w14:paraId="7E10B7DB" w14:textId="77777777" w:rsidR="00ED012E" w:rsidRDefault="00ED012E">
      <w:pPr>
        <w:spacing w:after="150"/>
        <w:jc w:val="right"/>
        <w:rPr>
          <w:color w:val="000000"/>
        </w:rPr>
      </w:pPr>
    </w:p>
    <w:p w14:paraId="2043E6DE" w14:textId="77777777" w:rsidR="00ED012E" w:rsidRDefault="00ED012E">
      <w:pPr>
        <w:spacing w:after="150"/>
        <w:jc w:val="right"/>
        <w:rPr>
          <w:color w:val="000000"/>
        </w:rPr>
      </w:pPr>
    </w:p>
    <w:p w14:paraId="40A7E63D" w14:textId="77777777" w:rsidR="00C23438" w:rsidRDefault="00C23438">
      <w:pPr>
        <w:spacing w:after="150"/>
        <w:jc w:val="right"/>
        <w:rPr>
          <w:color w:val="000000"/>
        </w:rPr>
      </w:pPr>
    </w:p>
    <w:p w14:paraId="5E44E4B3" w14:textId="77777777" w:rsidR="00ED012E" w:rsidRDefault="00ED012E">
      <w:pPr>
        <w:spacing w:after="150"/>
        <w:jc w:val="right"/>
      </w:pPr>
    </w:p>
    <w:p w14:paraId="677BE841" w14:textId="77777777" w:rsidR="009208E3" w:rsidRDefault="00000000">
      <w:pPr>
        <w:spacing w:after="120"/>
        <w:jc w:val="center"/>
      </w:pPr>
      <w:r>
        <w:rPr>
          <w:b/>
          <w:color w:val="000000"/>
        </w:rPr>
        <w:lastRenderedPageBreak/>
        <w:t>СПИСАК КЛАСИФИКОВАНИХ СУПСТАНЦИ</w:t>
      </w:r>
    </w:p>
    <w:p w14:paraId="1789E573" w14:textId="77777777" w:rsidR="009208E3" w:rsidRDefault="00000000">
      <w:pPr>
        <w:spacing w:after="120"/>
        <w:jc w:val="center"/>
      </w:pPr>
      <w:r>
        <w:rPr>
          <w:b/>
          <w:color w:val="000000"/>
        </w:rPr>
        <w:t xml:space="preserve">1. </w:t>
      </w:r>
      <w:proofErr w:type="spellStart"/>
      <w:r>
        <w:rPr>
          <w:b/>
          <w:color w:val="000000"/>
        </w:rPr>
        <w:t>Увод</w:t>
      </w:r>
      <w:proofErr w:type="spellEnd"/>
      <w:r>
        <w:rPr>
          <w:b/>
          <w:color w:val="000000"/>
        </w:rPr>
        <w:t xml:space="preserve"> у </w:t>
      </w:r>
      <w:proofErr w:type="spellStart"/>
      <w:r>
        <w:rPr>
          <w:b/>
          <w:color w:val="000000"/>
        </w:rPr>
        <w:t>Списак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класификованих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супстанци</w:t>
      </w:r>
      <w:proofErr w:type="spellEnd"/>
    </w:p>
    <w:p w14:paraId="20342C78" w14:textId="77777777" w:rsidR="009208E3" w:rsidRDefault="00000000">
      <w:pPr>
        <w:spacing w:after="120"/>
        <w:jc w:val="center"/>
      </w:pPr>
      <w:r>
        <w:rPr>
          <w:i/>
          <w:color w:val="000000"/>
        </w:rPr>
        <w:t xml:space="preserve">1.1. </w:t>
      </w:r>
      <w:proofErr w:type="spellStart"/>
      <w:r>
        <w:rPr>
          <w:i/>
          <w:color w:val="000000"/>
        </w:rPr>
        <w:t>Подаци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класификованим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супстанцама</w:t>
      </w:r>
      <w:proofErr w:type="spellEnd"/>
    </w:p>
    <w:p w14:paraId="0C9ABA35" w14:textId="77777777" w:rsidR="009208E3" w:rsidRDefault="00000000">
      <w:pPr>
        <w:spacing w:after="120"/>
        <w:jc w:val="center"/>
      </w:pPr>
      <w:r>
        <w:rPr>
          <w:color w:val="000000"/>
        </w:rPr>
        <w:t xml:space="preserve">1.1.1. </w:t>
      </w:r>
      <w:proofErr w:type="spellStart"/>
      <w:r>
        <w:rPr>
          <w:color w:val="000000"/>
        </w:rPr>
        <w:t>Нумерисање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идентификација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</w:p>
    <w:p w14:paraId="26E64917" w14:textId="77777777" w:rsidR="009208E3" w:rsidRDefault="00000000">
      <w:pPr>
        <w:spacing w:after="120"/>
        <w:jc w:val="center"/>
      </w:pPr>
      <w:r>
        <w:rPr>
          <w:color w:val="000000"/>
        </w:rPr>
        <w:t xml:space="preserve">1.1.1.1. </w:t>
      </w:r>
      <w:proofErr w:type="spellStart"/>
      <w:r>
        <w:rPr>
          <w:color w:val="000000"/>
        </w:rPr>
        <w:t>Индекс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</w:p>
    <w:p w14:paraId="6B8EB5EB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Индекс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Списку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нумерисана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атомског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највећој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Органске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разноврсности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разврстане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Индекс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цифара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типа</w:t>
      </w:r>
      <w:proofErr w:type="spellEnd"/>
      <w:r>
        <w:rPr>
          <w:color w:val="000000"/>
        </w:rPr>
        <w:t xml:space="preserve">: АBC-RST-VW-Y.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цифара</w:t>
      </w:r>
      <w:proofErr w:type="spellEnd"/>
      <w:r>
        <w:rPr>
          <w:color w:val="000000"/>
        </w:rPr>
        <w:t xml:space="preserve"> ABC </w:t>
      </w:r>
      <w:proofErr w:type="spellStart"/>
      <w:r>
        <w:rPr>
          <w:color w:val="000000"/>
        </w:rPr>
        <w:t>означава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атомски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функционалне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молекулу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највећој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цифара</w:t>
      </w:r>
      <w:proofErr w:type="spellEnd"/>
      <w:r>
        <w:rPr>
          <w:color w:val="000000"/>
        </w:rPr>
        <w:t xml:space="preserve"> RST </w:t>
      </w:r>
      <w:proofErr w:type="spellStart"/>
      <w:r>
        <w:rPr>
          <w:color w:val="000000"/>
        </w:rPr>
        <w:t>означава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тој</w:t>
      </w:r>
      <w:proofErr w:type="spellEnd"/>
      <w:r>
        <w:rPr>
          <w:color w:val="000000"/>
        </w:rPr>
        <w:t xml:space="preserve"> ABC </w:t>
      </w:r>
      <w:proofErr w:type="spellStart"/>
      <w:r>
        <w:rPr>
          <w:color w:val="000000"/>
        </w:rPr>
        <w:t>групи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цифара</w:t>
      </w:r>
      <w:proofErr w:type="spellEnd"/>
      <w:r>
        <w:rPr>
          <w:color w:val="000000"/>
        </w:rPr>
        <w:t xml:space="preserve"> VW </w:t>
      </w:r>
      <w:proofErr w:type="spellStart"/>
      <w:r>
        <w:rPr>
          <w:color w:val="000000"/>
        </w:rPr>
        <w:t>означава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ставља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Цифра</w:t>
      </w:r>
      <w:proofErr w:type="spellEnd"/>
      <w:r>
        <w:rPr>
          <w:color w:val="000000"/>
        </w:rPr>
        <w:t xml:space="preserve"> Y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контролни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израчунава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десетоцифреној</w:t>
      </w:r>
      <w:proofErr w:type="spellEnd"/>
      <w:r>
        <w:rPr>
          <w:color w:val="000000"/>
        </w:rPr>
        <w:t xml:space="preserve"> ISBN </w:t>
      </w:r>
      <w:proofErr w:type="spellStart"/>
      <w:r>
        <w:rPr>
          <w:color w:val="000000"/>
        </w:rPr>
        <w:t>методи</w:t>
      </w:r>
      <w:proofErr w:type="spellEnd"/>
      <w:r>
        <w:rPr>
          <w:color w:val="000000"/>
        </w:rPr>
        <w:t>.</w:t>
      </w:r>
    </w:p>
    <w:p w14:paraId="5CE5EBE9" w14:textId="77777777" w:rsidR="009208E3" w:rsidRDefault="00000000">
      <w:pPr>
        <w:spacing w:after="120"/>
        <w:jc w:val="center"/>
      </w:pPr>
      <w:r>
        <w:rPr>
          <w:color w:val="000000"/>
        </w:rPr>
        <w:t xml:space="preserve">1.1.1.2. </w:t>
      </w:r>
      <w:proofErr w:type="spellStart"/>
      <w:r>
        <w:rPr>
          <w:color w:val="000000"/>
        </w:rPr>
        <w:t>Хемијски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</w:t>
      </w:r>
      <w:proofErr w:type="spellEnd"/>
    </w:p>
    <w:p w14:paraId="7B982714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користи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IUPAC </w:t>
      </w:r>
      <w:proofErr w:type="spellStart"/>
      <w:r>
        <w:rPr>
          <w:color w:val="000000"/>
        </w:rPr>
        <w:t>номенклатури</w:t>
      </w:r>
      <w:proofErr w:type="spellEnd"/>
      <w:r>
        <w:rPr>
          <w:color w:val="000000"/>
        </w:rPr>
        <w:t xml:space="preserve"> (International Union of Pure and Applied Chemistry – </w:t>
      </w:r>
      <w:proofErr w:type="spellStart"/>
      <w:r>
        <w:rPr>
          <w:color w:val="000000"/>
        </w:rPr>
        <w:t>Међународна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чисту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примењену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хемију</w:t>
      </w:r>
      <w:proofErr w:type="spellEnd"/>
      <w:r>
        <w:rPr>
          <w:color w:val="000000"/>
        </w:rPr>
        <w:t xml:space="preserve">).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наведене</w:t>
      </w:r>
      <w:proofErr w:type="spellEnd"/>
      <w:r>
        <w:rPr>
          <w:color w:val="000000"/>
        </w:rPr>
        <w:t xml:space="preserve"> у EINECS, ELINCS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NLP </w:t>
      </w:r>
      <w:proofErr w:type="spellStart"/>
      <w:r>
        <w:rPr>
          <w:color w:val="000000"/>
        </w:rPr>
        <w:t>листи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листа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неким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случајевима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користи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уобичајени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генерички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међународни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незаштићени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предложила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прихватила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Међународна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стандардизацију</w:t>
      </w:r>
      <w:proofErr w:type="spellEnd"/>
      <w:r>
        <w:rPr>
          <w:color w:val="000000"/>
        </w:rPr>
        <w:t xml:space="preserve"> (International Organization for Standardization – ISO),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синоними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биља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биоцидне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производе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користи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ISO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>.</w:t>
      </w:r>
    </w:p>
    <w:p w14:paraId="17201784" w14:textId="77777777" w:rsidR="009208E3" w:rsidRDefault="00000000" w:rsidP="00C23438">
      <w:pPr>
        <w:spacing w:after="150"/>
        <w:jc w:val="both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Списку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нечистоћа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адитива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састојака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удела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доприносе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>.</w:t>
      </w:r>
    </w:p>
    <w:p w14:paraId="4532D023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етикети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Списку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списка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Списку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правоуганим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заградама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додатне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наводити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етикети</w:t>
      </w:r>
      <w:proofErr w:type="spellEnd"/>
      <w:r>
        <w:rPr>
          <w:color w:val="000000"/>
        </w:rPr>
        <w:t>.</w:t>
      </w:r>
    </w:p>
    <w:p w14:paraId="4967967F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Списку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проценат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нечистоћа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текста</w:t>
      </w:r>
      <w:proofErr w:type="spellEnd"/>
      <w:r>
        <w:rPr>
          <w:color w:val="000000"/>
        </w:rPr>
        <w:t xml:space="preserve">: </w:t>
      </w:r>
      <w:proofErr w:type="gramStart"/>
      <w:r>
        <w:rPr>
          <w:color w:val="000000"/>
        </w:rPr>
        <w:t>„(</w:t>
      </w:r>
      <w:proofErr w:type="spellStart"/>
      <w:proofErr w:type="gramEnd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≥ xx% </w:t>
      </w:r>
      <w:proofErr w:type="spellStart"/>
      <w:r>
        <w:rPr>
          <w:color w:val="000000"/>
        </w:rPr>
        <w:t>нечистоћа</w:t>
      </w:r>
      <w:proofErr w:type="spellEnd"/>
      <w:r>
        <w:rPr>
          <w:color w:val="000000"/>
        </w:rPr>
        <w:t xml:space="preserve">)ˮ, </w:t>
      </w:r>
      <w:proofErr w:type="spellStart"/>
      <w:r>
        <w:rPr>
          <w:color w:val="000000"/>
        </w:rPr>
        <w:t>текст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загради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етикети</w:t>
      </w:r>
      <w:proofErr w:type="spellEnd"/>
      <w:r>
        <w:rPr>
          <w:color w:val="000000"/>
        </w:rPr>
        <w:t>.</w:t>
      </w:r>
    </w:p>
    <w:p w14:paraId="2605606D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Списку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специфичaн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чистоће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активне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материје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него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специфичaн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чистоће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списку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нпр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органски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пероксиди</w:t>
      </w:r>
      <w:proofErr w:type="spellEnd"/>
      <w:r>
        <w:rPr>
          <w:color w:val="000000"/>
        </w:rPr>
        <w:t xml:space="preserve">), и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Списку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својства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нпр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експлозивна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класификују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обележавају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с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>.</w:t>
      </w:r>
    </w:p>
    <w:p w14:paraId="37510AB8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концентрације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Списку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индекс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бројем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Табели</w:t>
      </w:r>
      <w:proofErr w:type="spellEnd"/>
      <w:r>
        <w:rPr>
          <w:color w:val="000000"/>
        </w:rPr>
        <w:t xml:space="preserve"> 1.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смешу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индекс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специфичaн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чистоће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специфичне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концентрације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чистоће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Списка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), а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супстанцу</w:t>
      </w:r>
      <w:proofErr w:type="spellEnd"/>
      <w:r>
        <w:rPr>
          <w:color w:val="000000"/>
        </w:rPr>
        <w:t>.</w:t>
      </w:r>
    </w:p>
    <w:p w14:paraId="3B14F582" w14:textId="77777777" w:rsidR="009208E3" w:rsidRDefault="00000000">
      <w:pPr>
        <w:spacing w:after="120"/>
        <w:jc w:val="center"/>
      </w:pPr>
      <w:r>
        <w:rPr>
          <w:color w:val="000000"/>
        </w:rPr>
        <w:t xml:space="preserve">1.1.1.3. ЕС </w:t>
      </w:r>
      <w:proofErr w:type="spellStart"/>
      <w:r>
        <w:rPr>
          <w:color w:val="000000"/>
        </w:rPr>
        <w:t>број</w:t>
      </w:r>
      <w:proofErr w:type="spellEnd"/>
    </w:p>
    <w:p w14:paraId="2E1B4CB3" w14:textId="77777777" w:rsidR="009208E3" w:rsidRDefault="00000000" w:rsidP="00C23438">
      <w:pPr>
        <w:spacing w:after="150"/>
        <w:jc w:val="both"/>
      </w:pPr>
      <w:r>
        <w:rPr>
          <w:color w:val="000000"/>
        </w:rPr>
        <w:t xml:space="preserve">EC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т.ј</w:t>
      </w:r>
      <w:proofErr w:type="spellEnd"/>
      <w:r>
        <w:rPr>
          <w:color w:val="000000"/>
        </w:rPr>
        <w:t xml:space="preserve">. EINECS, ELINCS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NLP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званични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Европској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унији</w:t>
      </w:r>
      <w:proofErr w:type="spellEnd"/>
      <w:r>
        <w:rPr>
          <w:color w:val="000000"/>
        </w:rPr>
        <w:t>.</w:t>
      </w:r>
    </w:p>
    <w:p w14:paraId="685A4C03" w14:textId="77777777" w:rsidR="009208E3" w:rsidRDefault="00000000" w:rsidP="00C23438">
      <w:pPr>
        <w:spacing w:after="150"/>
        <w:jc w:val="both"/>
      </w:pPr>
      <w:r>
        <w:rPr>
          <w:color w:val="000000"/>
        </w:rPr>
        <w:t xml:space="preserve">EINECS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додељен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унесеној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Европски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инвентар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хемијских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 (European Inventory of Existing Commercial Chemical Substances – EINECS).</w:t>
      </w:r>
    </w:p>
    <w:p w14:paraId="6B22F8E3" w14:textId="77777777" w:rsidR="009208E3" w:rsidRDefault="00000000" w:rsidP="00C23438">
      <w:pPr>
        <w:spacing w:after="150"/>
        <w:jc w:val="both"/>
      </w:pPr>
      <w:r>
        <w:rPr>
          <w:color w:val="000000"/>
        </w:rPr>
        <w:t xml:space="preserve">ELINCS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додељен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прошла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нотификације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унесена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Европску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нотификованих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хемијских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Europeаn</w:t>
      </w:r>
      <w:proofErr w:type="spellEnd"/>
      <w:r>
        <w:rPr>
          <w:color w:val="000000"/>
        </w:rPr>
        <w:t xml:space="preserve"> List of Notified Chemical Substances – ELINCS).</w:t>
      </w:r>
    </w:p>
    <w:p w14:paraId="37B30896" w14:textId="77777777" w:rsidR="009208E3" w:rsidRDefault="00000000" w:rsidP="00C23438">
      <w:pPr>
        <w:spacing w:after="150"/>
        <w:jc w:val="both"/>
      </w:pPr>
      <w:r>
        <w:rPr>
          <w:color w:val="000000"/>
        </w:rPr>
        <w:t xml:space="preserve">NLP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додељен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Европској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NLP </w:t>
      </w:r>
      <w:proofErr w:type="spellStart"/>
      <w:r>
        <w:rPr>
          <w:color w:val="000000"/>
        </w:rPr>
        <w:t>листи</w:t>
      </w:r>
      <w:proofErr w:type="spellEnd"/>
      <w:r>
        <w:rPr>
          <w:color w:val="000000"/>
        </w:rPr>
        <w:t xml:space="preserve"> (no-longer polymers – NLP).</w:t>
      </w:r>
    </w:p>
    <w:p w14:paraId="6A5D4086" w14:textId="77777777" w:rsidR="009208E3" w:rsidRDefault="00000000" w:rsidP="00C23438">
      <w:pPr>
        <w:spacing w:after="150"/>
        <w:jc w:val="both"/>
      </w:pPr>
      <w:r>
        <w:rPr>
          <w:color w:val="000000"/>
        </w:rPr>
        <w:t xml:space="preserve">EC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je </w:t>
      </w:r>
      <w:proofErr w:type="spellStart"/>
      <w:r>
        <w:rPr>
          <w:color w:val="000000"/>
        </w:rPr>
        <w:t>дат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седам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цифара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типа</w:t>
      </w:r>
      <w:proofErr w:type="spellEnd"/>
      <w:r>
        <w:rPr>
          <w:color w:val="000000"/>
        </w:rPr>
        <w:t xml:space="preserve">: XXX-XXX-X. EC </w:t>
      </w:r>
      <w:proofErr w:type="spellStart"/>
      <w:r>
        <w:rPr>
          <w:color w:val="000000"/>
        </w:rPr>
        <w:t>бројеви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започињу</w:t>
      </w:r>
      <w:proofErr w:type="spellEnd"/>
      <w:r>
        <w:rPr>
          <w:color w:val="000000"/>
        </w:rPr>
        <w:t xml:space="preserve"> EINECS </w:t>
      </w:r>
      <w:proofErr w:type="spellStart"/>
      <w:r>
        <w:rPr>
          <w:color w:val="000000"/>
        </w:rPr>
        <w:t>бројевима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броја</w:t>
      </w:r>
      <w:proofErr w:type="spellEnd"/>
      <w:r>
        <w:rPr>
          <w:color w:val="000000"/>
        </w:rPr>
        <w:t xml:space="preserve"> 200-001-8, </w:t>
      </w:r>
      <w:proofErr w:type="spellStart"/>
      <w:r>
        <w:rPr>
          <w:color w:val="000000"/>
        </w:rPr>
        <w:t>затим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</w:t>
      </w:r>
      <w:proofErr w:type="spellEnd"/>
      <w:r>
        <w:rPr>
          <w:color w:val="000000"/>
        </w:rPr>
        <w:t xml:space="preserve"> ELINCS </w:t>
      </w:r>
      <w:proofErr w:type="spellStart"/>
      <w:r>
        <w:rPr>
          <w:color w:val="000000"/>
        </w:rPr>
        <w:t>бројеви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почевши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броја</w:t>
      </w:r>
      <w:proofErr w:type="spellEnd"/>
      <w:r>
        <w:rPr>
          <w:color w:val="000000"/>
        </w:rPr>
        <w:t xml:space="preserve"> 400-010-9 и NLP </w:t>
      </w:r>
      <w:proofErr w:type="spellStart"/>
      <w:r>
        <w:rPr>
          <w:color w:val="000000"/>
        </w:rPr>
        <w:t>бројеви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почевши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броја</w:t>
      </w:r>
      <w:proofErr w:type="spellEnd"/>
      <w:r>
        <w:rPr>
          <w:color w:val="000000"/>
        </w:rPr>
        <w:t xml:space="preserve"> 500-001-0.</w:t>
      </w:r>
    </w:p>
    <w:p w14:paraId="16815350" w14:textId="77777777" w:rsidR="009208E3" w:rsidRDefault="00000000">
      <w:pPr>
        <w:spacing w:after="120"/>
        <w:jc w:val="center"/>
      </w:pPr>
      <w:r>
        <w:rPr>
          <w:color w:val="000000"/>
        </w:rPr>
        <w:t xml:space="preserve">1.1.1.4. CAS </w:t>
      </w:r>
      <w:proofErr w:type="spellStart"/>
      <w:r>
        <w:rPr>
          <w:color w:val="000000"/>
        </w:rPr>
        <w:t>број</w:t>
      </w:r>
      <w:proofErr w:type="spellEnd"/>
    </w:p>
    <w:p w14:paraId="7A65D67C" w14:textId="77777777" w:rsidR="009208E3" w:rsidRDefault="00000000" w:rsidP="00C23438">
      <w:pPr>
        <w:spacing w:after="150"/>
        <w:jc w:val="both"/>
      </w:pPr>
      <w:r>
        <w:rPr>
          <w:color w:val="000000"/>
        </w:rPr>
        <w:t xml:space="preserve">CAS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идентификациони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додељен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свакој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појединачној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публикована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научној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литератури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унета</w:t>
      </w:r>
      <w:proofErr w:type="spellEnd"/>
      <w:r>
        <w:rPr>
          <w:color w:val="000000"/>
        </w:rPr>
        <w:t xml:space="preserve"> у CAS </w:t>
      </w:r>
      <w:proofErr w:type="spellStart"/>
      <w:r>
        <w:rPr>
          <w:color w:val="000000"/>
        </w:rPr>
        <w:t>регистар</w:t>
      </w:r>
      <w:proofErr w:type="spellEnd"/>
      <w:r>
        <w:rPr>
          <w:color w:val="000000"/>
        </w:rPr>
        <w:t xml:space="preserve"> (Chemical Abstract Service – CAS). CAS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aнхидроване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хидратисане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EINECS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aнхидроване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хидратисане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Списку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CAS </w:t>
      </w:r>
      <w:proofErr w:type="spellStart"/>
      <w:r>
        <w:rPr>
          <w:color w:val="000000"/>
        </w:rPr>
        <w:t>бројеви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анхидровани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наведени</w:t>
      </w:r>
      <w:proofErr w:type="spellEnd"/>
      <w:r>
        <w:rPr>
          <w:color w:val="000000"/>
        </w:rPr>
        <w:t xml:space="preserve"> CAS </w:t>
      </w:r>
      <w:proofErr w:type="spellStart"/>
      <w:r>
        <w:rPr>
          <w:color w:val="000000"/>
        </w:rPr>
        <w:t>бројеви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прецизно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EINECS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>.</w:t>
      </w:r>
    </w:p>
    <w:p w14:paraId="2FE25C9E" w14:textId="77777777" w:rsidR="009208E3" w:rsidRDefault="00000000">
      <w:pPr>
        <w:spacing w:after="120"/>
        <w:jc w:val="center"/>
      </w:pPr>
      <w:r>
        <w:rPr>
          <w:color w:val="000000"/>
        </w:rPr>
        <w:t xml:space="preserve">1.1.1.5.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</w:p>
    <w:p w14:paraId="1A07DFC2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Списак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индекс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бројем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списка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обухваћене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индекс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бројем</w:t>
      </w:r>
      <w:proofErr w:type="spellEnd"/>
      <w:r>
        <w:rPr>
          <w:color w:val="000000"/>
        </w:rPr>
        <w:t>.</w:t>
      </w:r>
    </w:p>
    <w:p w14:paraId="3B1FDE75" w14:textId="77777777" w:rsidR="009208E3" w:rsidRDefault="00000000" w:rsidP="00C23438">
      <w:pPr>
        <w:spacing w:after="150"/>
        <w:jc w:val="both"/>
      </w:pPr>
      <w:r>
        <w:rPr>
          <w:color w:val="000000"/>
        </w:rPr>
        <w:lastRenderedPageBreak/>
        <w:t xml:space="preserve">У </w:t>
      </w:r>
      <w:proofErr w:type="spellStart"/>
      <w:r>
        <w:rPr>
          <w:color w:val="000000"/>
        </w:rPr>
        <w:t>неким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случајевима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појединачна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обележити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Тада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индекс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бројем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индекс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назнаком</w:t>
      </w:r>
      <w:proofErr w:type="spellEnd"/>
      <w:r>
        <w:rPr>
          <w:color w:val="000000"/>
        </w:rPr>
        <w:t>: „</w:t>
      </w:r>
      <w:proofErr w:type="spellStart"/>
      <w:r>
        <w:rPr>
          <w:color w:val="000000"/>
        </w:rPr>
        <w:t>сa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изузетком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табелиˮ</w:t>
      </w:r>
      <w:proofErr w:type="spellEnd"/>
      <w:r>
        <w:rPr>
          <w:color w:val="000000"/>
        </w:rPr>
        <w:t>.</w:t>
      </w:r>
    </w:p>
    <w:p w14:paraId="50A60532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Појединачна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неким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случајевима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укључена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случајевима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зависи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укључена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најстрожа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>.</w:t>
      </w:r>
    </w:p>
    <w:p w14:paraId="0C222F13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соли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Списка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анхидровани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хидратисани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соли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другачије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наведено</w:t>
      </w:r>
      <w:proofErr w:type="spellEnd"/>
      <w:r>
        <w:rPr>
          <w:color w:val="000000"/>
        </w:rPr>
        <w:t>.</w:t>
      </w:r>
    </w:p>
    <w:p w14:paraId="1674B290" w14:textId="77777777" w:rsidR="009208E3" w:rsidRDefault="00000000" w:rsidP="00C23438">
      <w:pPr>
        <w:spacing w:after="150"/>
        <w:jc w:val="both"/>
      </w:pPr>
      <w:r>
        <w:rPr>
          <w:color w:val="000000"/>
        </w:rPr>
        <w:t xml:space="preserve">EC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CAS </w:t>
      </w:r>
      <w:proofErr w:type="spellStart"/>
      <w:r>
        <w:rPr>
          <w:color w:val="000000"/>
        </w:rPr>
        <w:t>бројеви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четири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>.</w:t>
      </w:r>
    </w:p>
    <w:p w14:paraId="15F2FCCE" w14:textId="77777777" w:rsidR="009208E3" w:rsidRDefault="00000000">
      <w:pPr>
        <w:spacing w:after="120"/>
        <w:jc w:val="center"/>
      </w:pPr>
      <w:r>
        <w:rPr>
          <w:color w:val="000000"/>
        </w:rPr>
        <w:t xml:space="preserve">1.1.2.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обележавањем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Табели</w:t>
      </w:r>
      <w:proofErr w:type="spellEnd"/>
      <w:r>
        <w:rPr>
          <w:color w:val="000000"/>
        </w:rPr>
        <w:t xml:space="preserve"> 1.</w:t>
      </w:r>
    </w:p>
    <w:p w14:paraId="25D9310C" w14:textId="77777777" w:rsidR="009208E3" w:rsidRDefault="00000000">
      <w:pPr>
        <w:spacing w:after="120"/>
        <w:jc w:val="center"/>
      </w:pPr>
      <w:r>
        <w:rPr>
          <w:color w:val="000000"/>
        </w:rPr>
        <w:t xml:space="preserve">1.1.2.1. </w:t>
      </w:r>
      <w:proofErr w:type="spellStart"/>
      <w:r>
        <w:rPr>
          <w:color w:val="000000"/>
        </w:rPr>
        <w:t>Класификација</w:t>
      </w:r>
      <w:proofErr w:type="spellEnd"/>
    </w:p>
    <w:p w14:paraId="183B5468" w14:textId="77777777" w:rsidR="009208E3" w:rsidRDefault="00000000">
      <w:pPr>
        <w:spacing w:after="120"/>
        <w:jc w:val="center"/>
      </w:pPr>
      <w:r>
        <w:rPr>
          <w:color w:val="000000"/>
        </w:rPr>
        <w:t xml:space="preserve">1.1.2.1.1. </w:t>
      </w:r>
      <w:proofErr w:type="spellStart"/>
      <w:r>
        <w:rPr>
          <w:color w:val="000000"/>
        </w:rPr>
        <w:t>Класа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категорија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опасности</w:t>
      </w:r>
      <w:proofErr w:type="spellEnd"/>
    </w:p>
    <w:p w14:paraId="3721D25A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критеријумима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скраћенице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категорију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подкласу</w:t>
      </w:r>
      <w:proofErr w:type="spellEnd"/>
      <w:r>
        <w:rPr>
          <w:color w:val="000000"/>
        </w:rPr>
        <w:t>/</w:t>
      </w:r>
      <w:proofErr w:type="spellStart"/>
      <w:r>
        <w:rPr>
          <w:color w:val="000000"/>
        </w:rPr>
        <w:t>тип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Класе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њихове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скраћенице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назнаком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4311"/>
        <w:gridCol w:w="4581"/>
      </w:tblGrid>
      <w:tr w:rsidR="009208E3" w14:paraId="77DD1BAD" w14:textId="77777777">
        <w:trPr>
          <w:trHeight w:val="45"/>
          <w:tblCellSpacing w:w="0" w:type="auto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8FA5DB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Класа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опасности</w:t>
            </w:r>
            <w:proofErr w:type="spellEnd"/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CDA9042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Скраћеница</w:t>
            </w:r>
            <w:proofErr w:type="spellEnd"/>
          </w:p>
        </w:tc>
      </w:tr>
      <w:tr w:rsidR="009208E3" w14:paraId="303A0B7F" w14:textId="77777777">
        <w:trPr>
          <w:trHeight w:val="45"/>
          <w:tblCellSpacing w:w="0" w:type="auto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BA4AB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Експлозиви</w:t>
            </w:r>
            <w:proofErr w:type="spellEnd"/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6938D2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Нест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експл</w:t>
            </w:r>
            <w:proofErr w:type="spellEnd"/>
            <w:r>
              <w:rPr>
                <w:color w:val="000000"/>
              </w:rPr>
              <w:t>.</w:t>
            </w:r>
          </w:p>
          <w:p w14:paraId="71B59E23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Експл</w:t>
            </w:r>
            <w:proofErr w:type="spellEnd"/>
            <w:r>
              <w:rPr>
                <w:color w:val="000000"/>
              </w:rPr>
              <w:t>. 1.1</w:t>
            </w:r>
          </w:p>
          <w:p w14:paraId="5F809A5A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Експл</w:t>
            </w:r>
            <w:proofErr w:type="spellEnd"/>
            <w:r>
              <w:rPr>
                <w:color w:val="000000"/>
              </w:rPr>
              <w:t>. 1.2</w:t>
            </w:r>
          </w:p>
          <w:p w14:paraId="63AE4F6D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Експл</w:t>
            </w:r>
            <w:proofErr w:type="spellEnd"/>
            <w:r>
              <w:rPr>
                <w:color w:val="000000"/>
              </w:rPr>
              <w:t>. 1.3</w:t>
            </w:r>
          </w:p>
          <w:p w14:paraId="3129F58B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Експл</w:t>
            </w:r>
            <w:proofErr w:type="spellEnd"/>
            <w:r>
              <w:rPr>
                <w:color w:val="000000"/>
              </w:rPr>
              <w:t>. 1.4</w:t>
            </w:r>
          </w:p>
          <w:p w14:paraId="31BDB362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Експл</w:t>
            </w:r>
            <w:proofErr w:type="spellEnd"/>
            <w:r>
              <w:rPr>
                <w:color w:val="000000"/>
              </w:rPr>
              <w:t>. 1.5</w:t>
            </w:r>
          </w:p>
          <w:p w14:paraId="559780EE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Експл</w:t>
            </w:r>
            <w:proofErr w:type="spellEnd"/>
            <w:r>
              <w:rPr>
                <w:color w:val="000000"/>
              </w:rPr>
              <w:t>. 1.6</w:t>
            </w:r>
          </w:p>
        </w:tc>
      </w:tr>
      <w:tr w:rsidR="009208E3" w14:paraId="2E0FEDA5" w14:textId="77777777">
        <w:trPr>
          <w:trHeight w:val="45"/>
          <w:tblCellSpacing w:w="0" w:type="auto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DD7C33B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Запаљиви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гасови</w:t>
            </w:r>
            <w:proofErr w:type="spellEnd"/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97BD6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Зап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гас</w:t>
            </w:r>
            <w:proofErr w:type="spellEnd"/>
            <w:r>
              <w:rPr>
                <w:color w:val="000000"/>
              </w:rPr>
              <w:t>. 1А</w:t>
            </w:r>
          </w:p>
          <w:p w14:paraId="7EC08C91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Зап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гас</w:t>
            </w:r>
            <w:proofErr w:type="spellEnd"/>
            <w:r>
              <w:rPr>
                <w:color w:val="000000"/>
              </w:rPr>
              <w:t>. 1Б</w:t>
            </w:r>
          </w:p>
          <w:p w14:paraId="3BDD8FFC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Зап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гас</w:t>
            </w:r>
            <w:proofErr w:type="spellEnd"/>
            <w:r>
              <w:rPr>
                <w:color w:val="000000"/>
              </w:rPr>
              <w:t>. 2</w:t>
            </w:r>
          </w:p>
          <w:p w14:paraId="3DE99362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Самозапаљиви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гас</w:t>
            </w:r>
            <w:proofErr w:type="spellEnd"/>
          </w:p>
          <w:p w14:paraId="44C7F277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Хем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нестаб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гас</w:t>
            </w:r>
            <w:proofErr w:type="spellEnd"/>
            <w:r>
              <w:rPr>
                <w:color w:val="000000"/>
              </w:rPr>
              <w:t xml:space="preserve"> А</w:t>
            </w:r>
          </w:p>
          <w:p w14:paraId="45AD8D3B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Хем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нестаб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гас</w:t>
            </w:r>
            <w:proofErr w:type="spellEnd"/>
            <w:r>
              <w:rPr>
                <w:color w:val="000000"/>
              </w:rPr>
              <w:t xml:space="preserve"> Б</w:t>
            </w:r>
          </w:p>
        </w:tc>
      </w:tr>
      <w:tr w:rsidR="009208E3" w14:paraId="6DB10299" w14:textId="77777777">
        <w:trPr>
          <w:trHeight w:val="45"/>
          <w:tblCellSpacing w:w="0" w:type="auto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1CAB48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Аеросоли</w:t>
            </w:r>
            <w:proofErr w:type="spellEnd"/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AE3C8EA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Аеросол</w:t>
            </w:r>
            <w:proofErr w:type="spellEnd"/>
            <w:r>
              <w:rPr>
                <w:color w:val="000000"/>
              </w:rPr>
              <w:t xml:space="preserve"> 1</w:t>
            </w:r>
          </w:p>
          <w:p w14:paraId="1F9F9818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Аеросол</w:t>
            </w:r>
            <w:proofErr w:type="spellEnd"/>
            <w:r>
              <w:rPr>
                <w:color w:val="000000"/>
              </w:rPr>
              <w:t xml:space="preserve"> 2</w:t>
            </w:r>
          </w:p>
          <w:p w14:paraId="489A9773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Аеросол</w:t>
            </w:r>
            <w:proofErr w:type="spellEnd"/>
            <w:r>
              <w:rPr>
                <w:color w:val="000000"/>
              </w:rPr>
              <w:t xml:space="preserve"> 3</w:t>
            </w:r>
          </w:p>
        </w:tc>
      </w:tr>
      <w:tr w:rsidR="009208E3" w14:paraId="08684F18" w14:textId="77777777">
        <w:trPr>
          <w:trHeight w:val="45"/>
          <w:tblCellSpacing w:w="0" w:type="auto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ABD9008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Оксидујући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гасови</w:t>
            </w:r>
            <w:proofErr w:type="spellEnd"/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4B64D7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Оксид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гас</w:t>
            </w:r>
            <w:proofErr w:type="spellEnd"/>
            <w:r>
              <w:rPr>
                <w:color w:val="000000"/>
              </w:rPr>
              <w:t>. 1</w:t>
            </w:r>
          </w:p>
        </w:tc>
      </w:tr>
      <w:tr w:rsidR="009208E3" w14:paraId="0066BB7D" w14:textId="77777777">
        <w:trPr>
          <w:trHeight w:val="45"/>
          <w:tblCellSpacing w:w="0" w:type="auto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4AF0E08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Гасови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притиском</w:t>
            </w:r>
            <w:proofErr w:type="spellEnd"/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ABA193A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Гас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под</w:t>
            </w:r>
            <w:proofErr w:type="spellEnd"/>
            <w:r>
              <w:rPr>
                <w:color w:val="000000"/>
              </w:rPr>
              <w:t xml:space="preserve"> прит.</w:t>
            </w:r>
            <w:r>
              <w:rPr>
                <w:color w:val="000000"/>
                <w:vertAlign w:val="superscript"/>
              </w:rPr>
              <w:t>1</w:t>
            </w:r>
          </w:p>
        </w:tc>
      </w:tr>
      <w:tr w:rsidR="009208E3" w14:paraId="28E3E4A3" w14:textId="77777777">
        <w:trPr>
          <w:trHeight w:val="45"/>
          <w:tblCellSpacing w:w="0" w:type="auto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334FBB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Запаљиве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течности</w:t>
            </w:r>
            <w:proofErr w:type="spellEnd"/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B865795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Зап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теч</w:t>
            </w:r>
            <w:proofErr w:type="spellEnd"/>
            <w:r>
              <w:rPr>
                <w:color w:val="000000"/>
              </w:rPr>
              <w:t>. 1</w:t>
            </w:r>
          </w:p>
          <w:p w14:paraId="7BDABC24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Зап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теч</w:t>
            </w:r>
            <w:proofErr w:type="spellEnd"/>
            <w:r>
              <w:rPr>
                <w:color w:val="000000"/>
              </w:rPr>
              <w:t>. 2</w:t>
            </w:r>
          </w:p>
          <w:p w14:paraId="1170A12D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Зап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теч</w:t>
            </w:r>
            <w:proofErr w:type="spellEnd"/>
            <w:r>
              <w:rPr>
                <w:color w:val="000000"/>
              </w:rPr>
              <w:t>. 3</w:t>
            </w:r>
          </w:p>
        </w:tc>
      </w:tr>
      <w:tr w:rsidR="009208E3" w14:paraId="3DEEC3C7" w14:textId="77777777">
        <w:trPr>
          <w:trHeight w:val="45"/>
          <w:tblCellSpacing w:w="0" w:type="auto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9C6F7EA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Запаљиве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чврсте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супстанце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смеше</w:t>
            </w:r>
            <w:proofErr w:type="spellEnd"/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1219669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Зап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чврст</w:t>
            </w:r>
            <w:proofErr w:type="spellEnd"/>
            <w:r>
              <w:rPr>
                <w:color w:val="000000"/>
              </w:rPr>
              <w:t>. 1</w:t>
            </w:r>
          </w:p>
          <w:p w14:paraId="30942225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Зап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чврст</w:t>
            </w:r>
            <w:proofErr w:type="spellEnd"/>
            <w:r>
              <w:rPr>
                <w:color w:val="000000"/>
              </w:rPr>
              <w:t>. 2</w:t>
            </w:r>
          </w:p>
        </w:tc>
      </w:tr>
      <w:tr w:rsidR="009208E3" w14:paraId="4AE0675B" w14:textId="77777777">
        <w:trPr>
          <w:trHeight w:val="45"/>
          <w:tblCellSpacing w:w="0" w:type="auto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D97712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Самореактивне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супстанце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смеше</w:t>
            </w:r>
            <w:proofErr w:type="spellEnd"/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B9B5D9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Самореакт</w:t>
            </w:r>
            <w:proofErr w:type="spellEnd"/>
            <w:r>
              <w:rPr>
                <w:color w:val="000000"/>
              </w:rPr>
              <w:t>. А</w:t>
            </w:r>
          </w:p>
          <w:p w14:paraId="5F82042C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Самореакт</w:t>
            </w:r>
            <w:proofErr w:type="spellEnd"/>
            <w:r>
              <w:rPr>
                <w:color w:val="000000"/>
              </w:rPr>
              <w:t>. Б</w:t>
            </w:r>
          </w:p>
          <w:p w14:paraId="19E6EA9F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Самореакт</w:t>
            </w:r>
            <w:proofErr w:type="spellEnd"/>
            <w:r>
              <w:rPr>
                <w:color w:val="000000"/>
              </w:rPr>
              <w:t>. Ц</w:t>
            </w:r>
          </w:p>
          <w:p w14:paraId="4AC3990C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Самореакт</w:t>
            </w:r>
            <w:proofErr w:type="spellEnd"/>
            <w:r>
              <w:rPr>
                <w:color w:val="000000"/>
              </w:rPr>
              <w:t>. Д</w:t>
            </w:r>
          </w:p>
          <w:p w14:paraId="4CD33F8B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Самореакт</w:t>
            </w:r>
            <w:proofErr w:type="spellEnd"/>
            <w:r>
              <w:rPr>
                <w:color w:val="000000"/>
              </w:rPr>
              <w:t>. Е</w:t>
            </w:r>
          </w:p>
          <w:p w14:paraId="5F399DB2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Самореакт</w:t>
            </w:r>
            <w:proofErr w:type="spellEnd"/>
            <w:r>
              <w:rPr>
                <w:color w:val="000000"/>
              </w:rPr>
              <w:t>. Ф</w:t>
            </w:r>
          </w:p>
          <w:p w14:paraId="4063AC93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Самореакт</w:t>
            </w:r>
            <w:proofErr w:type="spellEnd"/>
            <w:r>
              <w:rPr>
                <w:color w:val="000000"/>
              </w:rPr>
              <w:t>. Г</w:t>
            </w:r>
          </w:p>
        </w:tc>
      </w:tr>
      <w:tr w:rsidR="009208E3" w14:paraId="14BFC930" w14:textId="77777777">
        <w:trPr>
          <w:trHeight w:val="45"/>
          <w:tblCellSpacing w:w="0" w:type="auto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DE9F3BD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Самозапаљиве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течности</w:t>
            </w:r>
            <w:proofErr w:type="spellEnd"/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3385FCB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Самозап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теч</w:t>
            </w:r>
            <w:proofErr w:type="spellEnd"/>
            <w:r>
              <w:rPr>
                <w:color w:val="000000"/>
              </w:rPr>
              <w:t>. 1</w:t>
            </w:r>
          </w:p>
        </w:tc>
      </w:tr>
      <w:tr w:rsidR="009208E3" w14:paraId="08A5D828" w14:textId="77777777">
        <w:trPr>
          <w:trHeight w:val="45"/>
          <w:tblCellSpacing w:w="0" w:type="auto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95F322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Самозапаљиве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чврсте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супстанце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смеше</w:t>
            </w:r>
            <w:proofErr w:type="spellEnd"/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F9D17C6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Самозап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чврст</w:t>
            </w:r>
            <w:proofErr w:type="spellEnd"/>
            <w:r>
              <w:rPr>
                <w:color w:val="000000"/>
              </w:rPr>
              <w:t>. 1</w:t>
            </w:r>
          </w:p>
        </w:tc>
      </w:tr>
      <w:tr w:rsidR="009208E3" w14:paraId="660F5318" w14:textId="77777777">
        <w:trPr>
          <w:trHeight w:val="45"/>
          <w:tblCellSpacing w:w="0" w:type="auto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D62261C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Самозагревајуће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супстанце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смеше</w:t>
            </w:r>
            <w:proofErr w:type="spellEnd"/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5CE720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Самозагр</w:t>
            </w:r>
            <w:proofErr w:type="spellEnd"/>
            <w:r>
              <w:rPr>
                <w:color w:val="000000"/>
              </w:rPr>
              <w:t>. 1</w:t>
            </w:r>
          </w:p>
          <w:p w14:paraId="1C1B8022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Самозагр</w:t>
            </w:r>
            <w:proofErr w:type="spellEnd"/>
            <w:r>
              <w:rPr>
                <w:color w:val="000000"/>
              </w:rPr>
              <w:t>. 2</w:t>
            </w:r>
          </w:p>
        </w:tc>
      </w:tr>
      <w:tr w:rsidR="009208E3" w14:paraId="3E990620" w14:textId="77777777">
        <w:trPr>
          <w:trHeight w:val="45"/>
          <w:tblCellSpacing w:w="0" w:type="auto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4F3A924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Супстанце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или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смеше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које</w:t>
            </w:r>
            <w:proofErr w:type="spellEnd"/>
            <w:r>
              <w:rPr>
                <w:color w:val="000000"/>
              </w:rPr>
              <w:t xml:space="preserve"> у </w:t>
            </w:r>
            <w:proofErr w:type="spellStart"/>
            <w:r>
              <w:rPr>
                <w:color w:val="000000"/>
              </w:rPr>
              <w:t>контакту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ослобађају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запаљиве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гасове</w:t>
            </w:r>
            <w:proofErr w:type="spellEnd"/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ACB9B9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гас</w:t>
            </w:r>
            <w:proofErr w:type="spellEnd"/>
            <w:r>
              <w:rPr>
                <w:color w:val="000000"/>
              </w:rPr>
              <w:t>. 1</w:t>
            </w:r>
          </w:p>
          <w:p w14:paraId="775DBA8E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гас</w:t>
            </w:r>
            <w:proofErr w:type="spellEnd"/>
            <w:r>
              <w:rPr>
                <w:color w:val="000000"/>
              </w:rPr>
              <w:t>. 2</w:t>
            </w:r>
          </w:p>
          <w:p w14:paraId="61CADD4F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Конт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зап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гас</w:t>
            </w:r>
            <w:proofErr w:type="spellEnd"/>
            <w:r>
              <w:rPr>
                <w:color w:val="000000"/>
              </w:rPr>
              <w:t>. 3</w:t>
            </w:r>
          </w:p>
        </w:tc>
      </w:tr>
      <w:tr w:rsidR="009208E3" w14:paraId="51243A0B" w14:textId="77777777">
        <w:trPr>
          <w:trHeight w:val="45"/>
          <w:tblCellSpacing w:w="0" w:type="auto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F8CDF15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Оксидујуће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течности</w:t>
            </w:r>
            <w:proofErr w:type="spellEnd"/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6D9DC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Оксид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теч</w:t>
            </w:r>
            <w:proofErr w:type="spellEnd"/>
            <w:r>
              <w:rPr>
                <w:color w:val="000000"/>
              </w:rPr>
              <w:t>. 1</w:t>
            </w:r>
          </w:p>
          <w:p w14:paraId="60F08D5C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Оксид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теч</w:t>
            </w:r>
            <w:proofErr w:type="spellEnd"/>
            <w:r>
              <w:rPr>
                <w:color w:val="000000"/>
              </w:rPr>
              <w:t>. 2</w:t>
            </w:r>
          </w:p>
          <w:p w14:paraId="076BE45B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Оксид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теч</w:t>
            </w:r>
            <w:proofErr w:type="spellEnd"/>
            <w:r>
              <w:rPr>
                <w:color w:val="000000"/>
              </w:rPr>
              <w:t>. 3</w:t>
            </w:r>
          </w:p>
        </w:tc>
      </w:tr>
      <w:tr w:rsidR="009208E3" w14:paraId="47E20B78" w14:textId="77777777">
        <w:trPr>
          <w:trHeight w:val="45"/>
          <w:tblCellSpacing w:w="0" w:type="auto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3A0AB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Оксидујуће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чврсте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супстанце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смеше</w:t>
            </w:r>
            <w:proofErr w:type="spellEnd"/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C7B6CF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Оксид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чврст</w:t>
            </w:r>
            <w:proofErr w:type="spellEnd"/>
            <w:r>
              <w:rPr>
                <w:color w:val="000000"/>
              </w:rPr>
              <w:t>. 1</w:t>
            </w:r>
          </w:p>
          <w:p w14:paraId="52BCF23F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Оксид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чврст</w:t>
            </w:r>
            <w:proofErr w:type="spellEnd"/>
            <w:r>
              <w:rPr>
                <w:color w:val="000000"/>
              </w:rPr>
              <w:t>. 2</w:t>
            </w:r>
          </w:p>
          <w:p w14:paraId="35A64CEE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Оксид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чврст</w:t>
            </w:r>
            <w:proofErr w:type="spellEnd"/>
            <w:r>
              <w:rPr>
                <w:color w:val="000000"/>
              </w:rPr>
              <w:t>. 3</w:t>
            </w:r>
          </w:p>
        </w:tc>
      </w:tr>
      <w:tr w:rsidR="009208E3" w14:paraId="7FEEDC7B" w14:textId="77777777">
        <w:trPr>
          <w:trHeight w:val="45"/>
          <w:tblCellSpacing w:w="0" w:type="auto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5DEDF99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Органски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пероксиди</w:t>
            </w:r>
            <w:proofErr w:type="spellEnd"/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4C4BB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Орган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перокс</w:t>
            </w:r>
            <w:proofErr w:type="spellEnd"/>
            <w:r>
              <w:rPr>
                <w:color w:val="000000"/>
              </w:rPr>
              <w:t>. А</w:t>
            </w:r>
          </w:p>
          <w:p w14:paraId="0D6BECBD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Орган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перокс</w:t>
            </w:r>
            <w:proofErr w:type="spellEnd"/>
            <w:r>
              <w:rPr>
                <w:color w:val="000000"/>
              </w:rPr>
              <w:t>. Б</w:t>
            </w:r>
          </w:p>
          <w:p w14:paraId="0065C7FC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Орган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перокс</w:t>
            </w:r>
            <w:proofErr w:type="spellEnd"/>
            <w:r>
              <w:rPr>
                <w:color w:val="000000"/>
              </w:rPr>
              <w:t>. Ц, Д</w:t>
            </w:r>
          </w:p>
          <w:p w14:paraId="5BB5C04C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Орган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перокс</w:t>
            </w:r>
            <w:proofErr w:type="spellEnd"/>
            <w:r>
              <w:rPr>
                <w:color w:val="000000"/>
              </w:rPr>
              <w:t>. Е, Ф</w:t>
            </w:r>
          </w:p>
          <w:p w14:paraId="669F14D3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Орган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перокс</w:t>
            </w:r>
            <w:proofErr w:type="spellEnd"/>
            <w:r>
              <w:rPr>
                <w:color w:val="000000"/>
              </w:rPr>
              <w:t>. Г</w:t>
            </w:r>
          </w:p>
        </w:tc>
      </w:tr>
      <w:tr w:rsidR="009208E3" w14:paraId="1D400084" w14:textId="77777777">
        <w:trPr>
          <w:trHeight w:val="45"/>
          <w:tblCellSpacing w:w="0" w:type="auto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98D683A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Супстанце</w:t>
            </w:r>
            <w:proofErr w:type="spellEnd"/>
            <w:r>
              <w:rPr>
                <w:color w:val="000000"/>
              </w:rPr>
              <w:t xml:space="preserve"> и </w:t>
            </w:r>
            <w:proofErr w:type="spellStart"/>
            <w:r>
              <w:rPr>
                <w:color w:val="000000"/>
              </w:rPr>
              <w:t>смеше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корозивне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метале</w:t>
            </w:r>
            <w:proofErr w:type="spellEnd"/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0E43132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Kор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мет</w:t>
            </w:r>
            <w:proofErr w:type="spellEnd"/>
            <w:r>
              <w:rPr>
                <w:color w:val="000000"/>
              </w:rPr>
              <w:t>. 1</w:t>
            </w:r>
          </w:p>
        </w:tc>
      </w:tr>
      <w:tr w:rsidR="009208E3" w14:paraId="07EAB657" w14:textId="77777777">
        <w:trPr>
          <w:trHeight w:val="45"/>
          <w:tblCellSpacing w:w="0" w:type="auto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B608804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Десензибилизовани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експлозиви</w:t>
            </w:r>
            <w:proofErr w:type="spellEnd"/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14EE6E9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Десенз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експл</w:t>
            </w:r>
            <w:proofErr w:type="spellEnd"/>
            <w:r>
              <w:rPr>
                <w:color w:val="000000"/>
              </w:rPr>
              <w:t>. 1</w:t>
            </w:r>
          </w:p>
          <w:p w14:paraId="4AFD29DF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Десенз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експл</w:t>
            </w:r>
            <w:proofErr w:type="spellEnd"/>
            <w:r>
              <w:rPr>
                <w:color w:val="000000"/>
              </w:rPr>
              <w:t>. 2</w:t>
            </w:r>
          </w:p>
          <w:p w14:paraId="6D3C36D0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Десенз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експл</w:t>
            </w:r>
            <w:proofErr w:type="spellEnd"/>
            <w:r>
              <w:rPr>
                <w:color w:val="000000"/>
              </w:rPr>
              <w:t>. 3</w:t>
            </w:r>
          </w:p>
          <w:p w14:paraId="3A0FB6F5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Десенз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експл</w:t>
            </w:r>
            <w:proofErr w:type="spellEnd"/>
            <w:r>
              <w:rPr>
                <w:color w:val="000000"/>
              </w:rPr>
              <w:t>. 4</w:t>
            </w:r>
          </w:p>
        </w:tc>
      </w:tr>
      <w:tr w:rsidR="009208E3" w14:paraId="2A20AAC9" w14:textId="77777777">
        <w:trPr>
          <w:trHeight w:val="45"/>
          <w:tblCellSpacing w:w="0" w:type="auto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61D935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Акутна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токсичност</w:t>
            </w:r>
            <w:proofErr w:type="spellEnd"/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ED6A98A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Ак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токс</w:t>
            </w:r>
            <w:proofErr w:type="spellEnd"/>
            <w:r>
              <w:rPr>
                <w:color w:val="000000"/>
              </w:rPr>
              <w:t>. 1</w:t>
            </w:r>
          </w:p>
          <w:p w14:paraId="5C32BA18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Ак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токс</w:t>
            </w:r>
            <w:proofErr w:type="spellEnd"/>
            <w:r>
              <w:rPr>
                <w:color w:val="000000"/>
              </w:rPr>
              <w:t>. 2</w:t>
            </w:r>
          </w:p>
          <w:p w14:paraId="211A15F1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Ак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токс</w:t>
            </w:r>
            <w:proofErr w:type="spellEnd"/>
            <w:r>
              <w:rPr>
                <w:color w:val="000000"/>
              </w:rPr>
              <w:t>. 3</w:t>
            </w:r>
          </w:p>
          <w:p w14:paraId="00C8959F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Ак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токс</w:t>
            </w:r>
            <w:proofErr w:type="spellEnd"/>
            <w:r>
              <w:rPr>
                <w:color w:val="000000"/>
              </w:rPr>
              <w:t>. 4</w:t>
            </w:r>
          </w:p>
        </w:tc>
      </w:tr>
      <w:tr w:rsidR="009208E3" w14:paraId="2ABF4E9F" w14:textId="77777777">
        <w:trPr>
          <w:trHeight w:val="45"/>
          <w:tblCellSpacing w:w="0" w:type="auto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244B970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Корозија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коже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иритација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коже</w:t>
            </w:r>
            <w:proofErr w:type="spellEnd"/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18AC98D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Кор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коже</w:t>
            </w:r>
            <w:proofErr w:type="spellEnd"/>
            <w:r>
              <w:rPr>
                <w:color w:val="000000"/>
              </w:rPr>
              <w:t xml:space="preserve"> 1</w:t>
            </w:r>
          </w:p>
          <w:p w14:paraId="24630FE0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Кор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коже</w:t>
            </w:r>
            <w:proofErr w:type="spellEnd"/>
            <w:r>
              <w:rPr>
                <w:color w:val="000000"/>
              </w:rPr>
              <w:t xml:space="preserve"> 1А</w:t>
            </w:r>
          </w:p>
          <w:p w14:paraId="0764BC33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Кор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коже</w:t>
            </w:r>
            <w:proofErr w:type="spellEnd"/>
            <w:r>
              <w:rPr>
                <w:color w:val="000000"/>
              </w:rPr>
              <w:t xml:space="preserve"> 1Б</w:t>
            </w:r>
          </w:p>
          <w:p w14:paraId="3E94B05E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Кор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коже</w:t>
            </w:r>
            <w:proofErr w:type="spellEnd"/>
            <w:r>
              <w:rPr>
                <w:color w:val="000000"/>
              </w:rPr>
              <w:t xml:space="preserve"> 1Ц</w:t>
            </w:r>
          </w:p>
          <w:p w14:paraId="693ED6B2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Ирит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коже</w:t>
            </w:r>
            <w:proofErr w:type="spellEnd"/>
            <w:r>
              <w:rPr>
                <w:color w:val="000000"/>
              </w:rPr>
              <w:t xml:space="preserve"> 2</w:t>
            </w:r>
          </w:p>
        </w:tc>
      </w:tr>
      <w:tr w:rsidR="009208E3" w14:paraId="627CB5D4" w14:textId="77777777">
        <w:trPr>
          <w:trHeight w:val="45"/>
          <w:tblCellSpacing w:w="0" w:type="auto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837E914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Тешко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оштећење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иритација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ока</w:t>
            </w:r>
            <w:proofErr w:type="spellEnd"/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3F56A66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Ошт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ока</w:t>
            </w:r>
            <w:proofErr w:type="spellEnd"/>
            <w:r>
              <w:rPr>
                <w:color w:val="000000"/>
              </w:rPr>
              <w:t xml:space="preserve"> 1</w:t>
            </w:r>
          </w:p>
          <w:p w14:paraId="58FFA57E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Ирит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ока</w:t>
            </w:r>
            <w:proofErr w:type="spellEnd"/>
            <w:r>
              <w:rPr>
                <w:color w:val="000000"/>
              </w:rPr>
              <w:t xml:space="preserve"> 2</w:t>
            </w:r>
          </w:p>
        </w:tc>
      </w:tr>
      <w:tr w:rsidR="009208E3" w14:paraId="7AF7E042" w14:textId="77777777">
        <w:trPr>
          <w:trHeight w:val="45"/>
          <w:tblCellSpacing w:w="0" w:type="auto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55864CC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Сензибилизација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респираторних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органа</w:t>
            </w:r>
            <w:proofErr w:type="spellEnd"/>
            <w:r>
              <w:rPr>
                <w:color w:val="000000"/>
              </w:rPr>
              <w:t>/</w:t>
            </w:r>
            <w:proofErr w:type="spellStart"/>
            <w:r>
              <w:rPr>
                <w:color w:val="000000"/>
              </w:rPr>
              <w:t>сензибилизација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коже</w:t>
            </w:r>
            <w:proofErr w:type="spellEnd"/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B1FDDB3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Сензиб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респ</w:t>
            </w:r>
            <w:proofErr w:type="spellEnd"/>
            <w:r>
              <w:rPr>
                <w:color w:val="000000"/>
              </w:rPr>
              <w:t>. 1, 1А, 1Б</w:t>
            </w:r>
          </w:p>
          <w:p w14:paraId="6088CB9B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Сензиб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коже</w:t>
            </w:r>
            <w:proofErr w:type="spellEnd"/>
            <w:r>
              <w:rPr>
                <w:color w:val="000000"/>
              </w:rPr>
              <w:t xml:space="preserve"> 1, 1А, 1Б</w:t>
            </w:r>
          </w:p>
        </w:tc>
      </w:tr>
      <w:tr w:rsidR="009208E3" w14:paraId="5EE27B04" w14:textId="77777777">
        <w:trPr>
          <w:trHeight w:val="45"/>
          <w:tblCellSpacing w:w="0" w:type="auto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6333D9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Мутагеност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герминативних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ћелија</w:t>
            </w:r>
            <w:proofErr w:type="spellEnd"/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8C6A8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Мут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герм</w:t>
            </w:r>
            <w:proofErr w:type="spellEnd"/>
            <w:r>
              <w:rPr>
                <w:color w:val="000000"/>
              </w:rPr>
              <w:t>. 1А</w:t>
            </w:r>
          </w:p>
          <w:p w14:paraId="6B79BEB2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Мут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герм</w:t>
            </w:r>
            <w:proofErr w:type="spellEnd"/>
            <w:r>
              <w:rPr>
                <w:color w:val="000000"/>
              </w:rPr>
              <w:t>. 1Б</w:t>
            </w:r>
          </w:p>
          <w:p w14:paraId="38959E30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Мут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герм</w:t>
            </w:r>
            <w:proofErr w:type="spellEnd"/>
            <w:r>
              <w:rPr>
                <w:color w:val="000000"/>
              </w:rPr>
              <w:t>. 2</w:t>
            </w:r>
          </w:p>
        </w:tc>
      </w:tr>
      <w:tr w:rsidR="009208E3" w14:paraId="495EF1A6" w14:textId="77777777">
        <w:trPr>
          <w:trHeight w:val="45"/>
          <w:tblCellSpacing w:w="0" w:type="auto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19631A7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lastRenderedPageBreak/>
              <w:t>Карциногеност</w:t>
            </w:r>
            <w:proofErr w:type="spellEnd"/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9FBAE67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Карц</w:t>
            </w:r>
            <w:proofErr w:type="spellEnd"/>
            <w:r>
              <w:rPr>
                <w:color w:val="000000"/>
              </w:rPr>
              <w:t>. 1А</w:t>
            </w:r>
          </w:p>
          <w:p w14:paraId="775EA458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Карц</w:t>
            </w:r>
            <w:proofErr w:type="spellEnd"/>
            <w:r>
              <w:rPr>
                <w:color w:val="000000"/>
              </w:rPr>
              <w:t>. 1Б</w:t>
            </w:r>
          </w:p>
          <w:p w14:paraId="04D3B8A3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Карц</w:t>
            </w:r>
            <w:proofErr w:type="spellEnd"/>
            <w:r>
              <w:rPr>
                <w:color w:val="000000"/>
              </w:rPr>
              <w:t>. 2</w:t>
            </w:r>
          </w:p>
        </w:tc>
      </w:tr>
      <w:tr w:rsidR="009208E3" w14:paraId="0E7F9304" w14:textId="77777777">
        <w:trPr>
          <w:trHeight w:val="45"/>
          <w:tblCellSpacing w:w="0" w:type="auto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A693C21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Токсичност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репродукцију</w:t>
            </w:r>
            <w:proofErr w:type="spellEnd"/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349B21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Токс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репр</w:t>
            </w:r>
            <w:proofErr w:type="spellEnd"/>
            <w:r>
              <w:rPr>
                <w:color w:val="000000"/>
              </w:rPr>
              <w:t>. 1А</w:t>
            </w:r>
          </w:p>
          <w:p w14:paraId="072FEC00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Токс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репр</w:t>
            </w:r>
            <w:proofErr w:type="spellEnd"/>
            <w:r>
              <w:rPr>
                <w:color w:val="000000"/>
              </w:rPr>
              <w:t>. 1Б</w:t>
            </w:r>
          </w:p>
          <w:p w14:paraId="547D7984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Токс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репр</w:t>
            </w:r>
            <w:proofErr w:type="spellEnd"/>
            <w:r>
              <w:rPr>
                <w:color w:val="000000"/>
              </w:rPr>
              <w:t>. 2</w:t>
            </w:r>
          </w:p>
          <w:p w14:paraId="6CAB9BA9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Токс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репр</w:t>
            </w:r>
            <w:proofErr w:type="spellEnd"/>
            <w:r>
              <w:rPr>
                <w:color w:val="000000"/>
              </w:rPr>
              <w:t>. (</w:t>
            </w:r>
            <w:proofErr w:type="spellStart"/>
            <w:r>
              <w:rPr>
                <w:color w:val="000000"/>
              </w:rPr>
              <w:t>лакт</w:t>
            </w:r>
            <w:proofErr w:type="spellEnd"/>
            <w:r>
              <w:rPr>
                <w:color w:val="000000"/>
              </w:rPr>
              <w:t>.)</w:t>
            </w:r>
          </w:p>
        </w:tc>
      </w:tr>
      <w:tr w:rsidR="009208E3" w14:paraId="1576537B" w14:textId="77777777">
        <w:trPr>
          <w:trHeight w:val="45"/>
          <w:tblCellSpacing w:w="0" w:type="auto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F37B43A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Специфична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токсичност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циљни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једнократна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изложеност</w:t>
            </w:r>
            <w:proofErr w:type="spellEnd"/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70A029E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Спец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токс</w:t>
            </w:r>
            <w:proofErr w:type="spellEnd"/>
            <w:r>
              <w:rPr>
                <w:color w:val="000000"/>
              </w:rPr>
              <w:t>. – ЈИ 1</w:t>
            </w:r>
          </w:p>
          <w:p w14:paraId="4613304E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Спец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токс</w:t>
            </w:r>
            <w:proofErr w:type="spellEnd"/>
            <w:r>
              <w:rPr>
                <w:color w:val="000000"/>
              </w:rPr>
              <w:t>. – ЈИ 2</w:t>
            </w:r>
          </w:p>
          <w:p w14:paraId="6930F00F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Спец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токс</w:t>
            </w:r>
            <w:proofErr w:type="spellEnd"/>
            <w:r>
              <w:rPr>
                <w:color w:val="000000"/>
              </w:rPr>
              <w:t>. – ЈИ 3</w:t>
            </w:r>
          </w:p>
        </w:tc>
      </w:tr>
      <w:tr w:rsidR="009208E3" w14:paraId="0118342C" w14:textId="77777777">
        <w:trPr>
          <w:trHeight w:val="45"/>
          <w:tblCellSpacing w:w="0" w:type="auto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76D5BF7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Специфична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токсичност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за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циљни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орган</w:t>
            </w:r>
            <w:proofErr w:type="spellEnd"/>
            <w:r>
              <w:rPr>
                <w:color w:val="000000"/>
              </w:rPr>
              <w:t xml:space="preserve"> – </w:t>
            </w:r>
            <w:proofErr w:type="spellStart"/>
            <w:r>
              <w:rPr>
                <w:color w:val="000000"/>
              </w:rPr>
              <w:t>вишекратна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изложеност</w:t>
            </w:r>
            <w:proofErr w:type="spellEnd"/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6DFB1B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Спец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токс</w:t>
            </w:r>
            <w:proofErr w:type="spellEnd"/>
            <w:r>
              <w:rPr>
                <w:color w:val="000000"/>
              </w:rPr>
              <w:t>. – ВИ 1</w:t>
            </w:r>
          </w:p>
          <w:p w14:paraId="4B4715B2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Спец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токс</w:t>
            </w:r>
            <w:proofErr w:type="spellEnd"/>
            <w:r>
              <w:rPr>
                <w:color w:val="000000"/>
              </w:rPr>
              <w:t>. – ВИ 2</w:t>
            </w:r>
          </w:p>
        </w:tc>
      </w:tr>
      <w:tr w:rsidR="009208E3" w14:paraId="0336C6E5" w14:textId="77777777">
        <w:trPr>
          <w:trHeight w:val="45"/>
          <w:tblCellSpacing w:w="0" w:type="auto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8961BAF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Опасност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од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аспирације</w:t>
            </w:r>
            <w:proofErr w:type="spellEnd"/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1B0B5AE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Асп</w:t>
            </w:r>
            <w:proofErr w:type="spellEnd"/>
            <w:r>
              <w:rPr>
                <w:color w:val="000000"/>
              </w:rPr>
              <w:t>. 1</w:t>
            </w:r>
          </w:p>
        </w:tc>
      </w:tr>
      <w:tr w:rsidR="009208E3" w14:paraId="3BDB89D7" w14:textId="77777777">
        <w:trPr>
          <w:trHeight w:val="45"/>
          <w:tblCellSpacing w:w="0" w:type="auto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778DF8F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Опасност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водену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животну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средину</w:t>
            </w:r>
            <w:proofErr w:type="spellEnd"/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3255CC7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Вод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жив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сред</w:t>
            </w:r>
            <w:proofErr w:type="spellEnd"/>
            <w:r>
              <w:rPr>
                <w:color w:val="000000"/>
              </w:rPr>
              <w:t xml:space="preserve">. – </w:t>
            </w:r>
            <w:proofErr w:type="spellStart"/>
            <w:r>
              <w:rPr>
                <w:color w:val="000000"/>
              </w:rPr>
              <w:t>ак</w:t>
            </w:r>
            <w:proofErr w:type="spellEnd"/>
            <w:r>
              <w:rPr>
                <w:color w:val="000000"/>
              </w:rPr>
              <w:t>. 1</w:t>
            </w:r>
          </w:p>
          <w:p w14:paraId="6B64F104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Вод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жив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сред</w:t>
            </w:r>
            <w:proofErr w:type="spellEnd"/>
            <w:r>
              <w:rPr>
                <w:color w:val="000000"/>
              </w:rPr>
              <w:t xml:space="preserve">. – </w:t>
            </w:r>
            <w:proofErr w:type="spellStart"/>
            <w:r>
              <w:rPr>
                <w:color w:val="000000"/>
              </w:rPr>
              <w:t>хрон</w:t>
            </w:r>
            <w:proofErr w:type="spellEnd"/>
            <w:r>
              <w:rPr>
                <w:color w:val="000000"/>
              </w:rPr>
              <w:t>. 1</w:t>
            </w:r>
          </w:p>
          <w:p w14:paraId="1A7F2589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Вод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жив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сред</w:t>
            </w:r>
            <w:proofErr w:type="spellEnd"/>
            <w:r>
              <w:rPr>
                <w:color w:val="000000"/>
              </w:rPr>
              <w:t xml:space="preserve">. – </w:t>
            </w:r>
            <w:proofErr w:type="spellStart"/>
            <w:r>
              <w:rPr>
                <w:color w:val="000000"/>
              </w:rPr>
              <w:t>хрон</w:t>
            </w:r>
            <w:proofErr w:type="spellEnd"/>
            <w:r>
              <w:rPr>
                <w:color w:val="000000"/>
              </w:rPr>
              <w:t>. 2</w:t>
            </w:r>
          </w:p>
          <w:p w14:paraId="1ACFAEA5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Вод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жив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сред</w:t>
            </w:r>
            <w:proofErr w:type="spellEnd"/>
            <w:r>
              <w:rPr>
                <w:color w:val="000000"/>
              </w:rPr>
              <w:t xml:space="preserve">. – </w:t>
            </w:r>
            <w:proofErr w:type="spellStart"/>
            <w:r>
              <w:rPr>
                <w:color w:val="000000"/>
              </w:rPr>
              <w:t>хрон</w:t>
            </w:r>
            <w:proofErr w:type="spellEnd"/>
            <w:r>
              <w:rPr>
                <w:color w:val="000000"/>
              </w:rPr>
              <w:t>. 3</w:t>
            </w:r>
          </w:p>
          <w:p w14:paraId="2C6BBA6C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Вод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жив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сред</w:t>
            </w:r>
            <w:proofErr w:type="spellEnd"/>
            <w:r>
              <w:rPr>
                <w:color w:val="000000"/>
              </w:rPr>
              <w:t xml:space="preserve">. – </w:t>
            </w:r>
            <w:proofErr w:type="spellStart"/>
            <w:r>
              <w:rPr>
                <w:color w:val="000000"/>
              </w:rPr>
              <w:t>хрон</w:t>
            </w:r>
            <w:proofErr w:type="spellEnd"/>
            <w:r>
              <w:rPr>
                <w:color w:val="000000"/>
              </w:rPr>
              <w:t>. 4</w:t>
            </w:r>
          </w:p>
        </w:tc>
      </w:tr>
      <w:tr w:rsidR="009208E3" w14:paraId="50B70C69" w14:textId="77777777">
        <w:trPr>
          <w:trHeight w:val="45"/>
          <w:tblCellSpacing w:w="0" w:type="auto"/>
        </w:trPr>
        <w:tc>
          <w:tcPr>
            <w:tcW w:w="61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43D751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Опасност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озонски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омотач</w:t>
            </w:r>
            <w:proofErr w:type="spellEnd"/>
          </w:p>
        </w:tc>
        <w:tc>
          <w:tcPr>
            <w:tcW w:w="8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A832F0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Озон</w:t>
            </w:r>
            <w:proofErr w:type="spellEnd"/>
            <w:r>
              <w:rPr>
                <w:color w:val="000000"/>
              </w:rPr>
              <w:t xml:space="preserve"> 1</w:t>
            </w:r>
          </w:p>
        </w:tc>
      </w:tr>
    </w:tbl>
    <w:p w14:paraId="1963EF4A" w14:textId="77777777" w:rsidR="009208E3" w:rsidRDefault="00000000">
      <w:pPr>
        <w:spacing w:after="150"/>
      </w:pPr>
      <w:r>
        <w:rPr>
          <w:i/>
          <w:color w:val="000000"/>
        </w:rPr>
        <w:t xml:space="preserve">1 </w:t>
      </w:r>
      <w:proofErr w:type="spellStart"/>
      <w:r>
        <w:rPr>
          <w:i/>
          <w:color w:val="000000"/>
        </w:rPr>
        <w:t>Видети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напомену</w:t>
      </w:r>
      <w:proofErr w:type="spellEnd"/>
      <w:r>
        <w:rPr>
          <w:i/>
          <w:color w:val="000000"/>
        </w:rPr>
        <w:t xml:space="preserve"> U </w:t>
      </w:r>
      <w:proofErr w:type="spellStart"/>
      <w:r>
        <w:rPr>
          <w:i/>
          <w:color w:val="000000"/>
        </w:rPr>
        <w:t>која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је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дата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одељку</w:t>
      </w:r>
      <w:proofErr w:type="spellEnd"/>
      <w:r>
        <w:rPr>
          <w:i/>
          <w:color w:val="000000"/>
        </w:rPr>
        <w:t xml:space="preserve"> 1.1.3. </w:t>
      </w:r>
      <w:proofErr w:type="spellStart"/>
      <w:r>
        <w:rPr>
          <w:i/>
          <w:color w:val="000000"/>
        </w:rPr>
        <w:t>овог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увода</w:t>
      </w:r>
      <w:proofErr w:type="spellEnd"/>
    </w:p>
    <w:p w14:paraId="29DFA6E0" w14:textId="77777777" w:rsidR="009208E3" w:rsidRDefault="00000000">
      <w:pPr>
        <w:spacing w:after="120"/>
        <w:jc w:val="center"/>
      </w:pPr>
      <w:r>
        <w:rPr>
          <w:color w:val="000000"/>
        </w:rPr>
        <w:t xml:space="preserve">1.1.2.1.2. </w:t>
      </w:r>
      <w:proofErr w:type="spellStart"/>
      <w:r>
        <w:rPr>
          <w:color w:val="000000"/>
        </w:rPr>
        <w:t>Обавештење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опасности</w:t>
      </w:r>
      <w:proofErr w:type="spellEnd"/>
    </w:p>
    <w:p w14:paraId="0411B3AC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Обавештења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додељена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наведена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обавештења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латиничног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слова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Нˮ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троцифреног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додата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латинична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указало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разлику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класификацији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Користе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ознаке</w:t>
      </w:r>
      <w:proofErr w:type="spellEnd"/>
      <w:r>
        <w:rPr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 w:firstRow="1" w:lastRow="0" w:firstColumn="1" w:lastColumn="0" w:noHBand="0" w:noVBand="1"/>
      </w:tblPr>
      <w:tblGrid>
        <w:gridCol w:w="3760"/>
        <w:gridCol w:w="5132"/>
      </w:tblGrid>
      <w:tr w:rsidR="009208E3" w14:paraId="0B7EA2AC" w14:textId="77777777">
        <w:trPr>
          <w:trHeight w:val="45"/>
          <w:tblCellSpacing w:w="0" w:type="auto"/>
        </w:trPr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6268E39" w14:textId="77777777" w:rsidR="009208E3" w:rsidRDefault="00000000">
            <w:pPr>
              <w:spacing w:after="150"/>
            </w:pPr>
            <w:r>
              <w:rPr>
                <w:color w:val="000000"/>
              </w:rPr>
              <w:t>H350i</w:t>
            </w:r>
          </w:p>
        </w:tc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AF827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изазове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карцином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ако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удише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208E3" w14:paraId="73C5CE61" w14:textId="77777777">
        <w:trPr>
          <w:trHeight w:val="45"/>
          <w:tblCellSpacing w:w="0" w:type="auto"/>
        </w:trPr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433644D" w14:textId="77777777" w:rsidR="009208E3" w:rsidRDefault="00000000">
            <w:pPr>
              <w:spacing w:after="150"/>
            </w:pPr>
            <w:r>
              <w:rPr>
                <w:color w:val="000000"/>
              </w:rPr>
              <w:t>H360F</w:t>
            </w:r>
          </w:p>
        </w:tc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29B883A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штетно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утиче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плодност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208E3" w14:paraId="590D971B" w14:textId="77777777">
        <w:trPr>
          <w:trHeight w:val="45"/>
          <w:tblCellSpacing w:w="0" w:type="auto"/>
        </w:trPr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8B555E" w14:textId="77777777" w:rsidR="009208E3" w:rsidRDefault="00000000">
            <w:pPr>
              <w:spacing w:after="150"/>
            </w:pPr>
            <w:r>
              <w:rPr>
                <w:color w:val="000000"/>
              </w:rPr>
              <w:t>H360D</w:t>
            </w:r>
          </w:p>
        </w:tc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A56A53B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штетно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утиче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плод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208E3" w14:paraId="567F68C1" w14:textId="77777777">
        <w:trPr>
          <w:trHeight w:val="45"/>
          <w:tblCellSpacing w:w="0" w:type="auto"/>
        </w:trPr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96ADC5E" w14:textId="77777777" w:rsidR="009208E3" w:rsidRDefault="00000000">
            <w:pPr>
              <w:spacing w:after="150"/>
            </w:pPr>
            <w:r>
              <w:rPr>
                <w:color w:val="000000"/>
              </w:rPr>
              <w:lastRenderedPageBreak/>
              <w:t>H361f</w:t>
            </w:r>
          </w:p>
        </w:tc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3950221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Сумња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штетно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утиче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плодност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208E3" w14:paraId="654AEA24" w14:textId="77777777">
        <w:trPr>
          <w:trHeight w:val="45"/>
          <w:tblCellSpacing w:w="0" w:type="auto"/>
        </w:trPr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0E299DD" w14:textId="77777777" w:rsidR="009208E3" w:rsidRDefault="00000000">
            <w:pPr>
              <w:spacing w:after="150"/>
            </w:pPr>
            <w:r>
              <w:rPr>
                <w:color w:val="000000"/>
              </w:rPr>
              <w:t>H361d</w:t>
            </w:r>
          </w:p>
        </w:tc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035A6C0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Сумња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штетно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утиче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плод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208E3" w14:paraId="2A006E39" w14:textId="77777777">
        <w:trPr>
          <w:trHeight w:val="45"/>
          <w:tblCellSpacing w:w="0" w:type="auto"/>
        </w:trPr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605517B" w14:textId="77777777" w:rsidR="009208E3" w:rsidRDefault="00000000">
            <w:pPr>
              <w:spacing w:after="150"/>
            </w:pPr>
            <w:r>
              <w:rPr>
                <w:color w:val="000000"/>
              </w:rPr>
              <w:t>H360FD</w:t>
            </w:r>
          </w:p>
        </w:tc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5138C77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штетно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утиче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плодност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штетно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утиче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плод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208E3" w14:paraId="16E764E4" w14:textId="77777777">
        <w:trPr>
          <w:trHeight w:val="45"/>
          <w:tblCellSpacing w:w="0" w:type="auto"/>
        </w:trPr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915500" w14:textId="77777777" w:rsidR="009208E3" w:rsidRDefault="00000000">
            <w:pPr>
              <w:spacing w:after="150"/>
            </w:pPr>
            <w:r>
              <w:rPr>
                <w:color w:val="000000"/>
              </w:rPr>
              <w:t>H361fd</w:t>
            </w:r>
          </w:p>
        </w:tc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B76C819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Сумња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штетно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утиче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плодност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Сумња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штетно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утиче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плод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208E3" w14:paraId="234AAB6E" w14:textId="77777777">
        <w:trPr>
          <w:trHeight w:val="45"/>
          <w:tblCellSpacing w:w="0" w:type="auto"/>
        </w:trPr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6163168" w14:textId="77777777" w:rsidR="009208E3" w:rsidRDefault="00000000">
            <w:pPr>
              <w:spacing w:after="150"/>
            </w:pPr>
            <w:r>
              <w:rPr>
                <w:color w:val="000000"/>
              </w:rPr>
              <w:t>H360Fd</w:t>
            </w:r>
          </w:p>
        </w:tc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C722D8F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штетно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утиче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плодност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Сумња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штетно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утиче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плод</w:t>
            </w:r>
            <w:proofErr w:type="spellEnd"/>
            <w:r>
              <w:rPr>
                <w:color w:val="000000"/>
              </w:rPr>
              <w:t>.</w:t>
            </w:r>
          </w:p>
        </w:tc>
      </w:tr>
      <w:tr w:rsidR="009208E3" w14:paraId="2712AC58" w14:textId="77777777">
        <w:trPr>
          <w:trHeight w:val="45"/>
          <w:tblCellSpacing w:w="0" w:type="auto"/>
        </w:trPr>
        <w:tc>
          <w:tcPr>
            <w:tcW w:w="6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9F64B2" w14:textId="77777777" w:rsidR="009208E3" w:rsidRDefault="00000000">
            <w:pPr>
              <w:spacing w:after="150"/>
            </w:pPr>
            <w:r>
              <w:rPr>
                <w:color w:val="000000"/>
              </w:rPr>
              <w:t>H360Df</w:t>
            </w:r>
          </w:p>
        </w:tc>
        <w:tc>
          <w:tcPr>
            <w:tcW w:w="83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7E6A9F3" w14:textId="77777777" w:rsidR="009208E3" w:rsidRDefault="00000000">
            <w:pPr>
              <w:spacing w:after="150"/>
            </w:pP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штетно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утиче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плод</w:t>
            </w:r>
            <w:proofErr w:type="spellEnd"/>
            <w:r>
              <w:rPr>
                <w:color w:val="000000"/>
              </w:rPr>
              <w:t xml:space="preserve">. </w:t>
            </w:r>
            <w:proofErr w:type="spellStart"/>
            <w:r>
              <w:rPr>
                <w:color w:val="000000"/>
              </w:rPr>
              <w:t>Сумња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се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може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штетно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да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утиче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на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плодност</w:t>
            </w:r>
            <w:proofErr w:type="spellEnd"/>
            <w:r>
              <w:rPr>
                <w:color w:val="000000"/>
              </w:rPr>
              <w:t>.</w:t>
            </w:r>
          </w:p>
        </w:tc>
      </w:tr>
    </w:tbl>
    <w:p w14:paraId="126A6704" w14:textId="77777777" w:rsidR="009208E3" w:rsidRDefault="00000000">
      <w:pPr>
        <w:spacing w:after="120"/>
        <w:jc w:val="center"/>
      </w:pPr>
      <w:r>
        <w:rPr>
          <w:color w:val="000000"/>
        </w:rPr>
        <w:t xml:space="preserve">1.1.2.2. </w:t>
      </w:r>
      <w:proofErr w:type="spellStart"/>
      <w:r>
        <w:rPr>
          <w:color w:val="000000"/>
        </w:rPr>
        <w:t>Обележавање</w:t>
      </w:r>
      <w:proofErr w:type="spellEnd"/>
    </w:p>
    <w:p w14:paraId="16FEBD07" w14:textId="77777777" w:rsidR="009208E3" w:rsidRDefault="00000000" w:rsidP="00C23438">
      <w:pPr>
        <w:spacing w:after="150"/>
        <w:jc w:val="both"/>
      </w:pPr>
      <w:r>
        <w:rPr>
          <w:color w:val="000000"/>
        </w:rPr>
        <w:t xml:space="preserve">У </w:t>
      </w:r>
      <w:proofErr w:type="spellStart"/>
      <w:r>
        <w:rPr>
          <w:color w:val="000000"/>
        </w:rPr>
        <w:t>Табели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дате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обележавања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обележaвање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>:</w:t>
      </w:r>
    </w:p>
    <w:p w14:paraId="45A66E57" w14:textId="77777777" w:rsidR="009208E3" w:rsidRDefault="00000000" w:rsidP="00C23438">
      <w:pPr>
        <w:spacing w:after="150"/>
        <w:jc w:val="both"/>
      </w:pPr>
      <w:r>
        <w:rPr>
          <w:color w:val="000000"/>
        </w:rPr>
        <w:t xml:space="preserve">1) у </w:t>
      </w:r>
      <w:proofErr w:type="spellStart"/>
      <w:r>
        <w:rPr>
          <w:color w:val="000000"/>
        </w:rPr>
        <w:t>колони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Пиктограм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реч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упозорењаˮ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пиктограме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принципима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првенства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пиктограме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одговарајућа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реч</w:t>
      </w:r>
      <w:proofErr w:type="spell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упозорења</w:t>
      </w:r>
      <w:proofErr w:type="spellEnd"/>
      <w:r>
        <w:rPr>
          <w:color w:val="000000"/>
        </w:rPr>
        <w:t>;</w:t>
      </w:r>
      <w:proofErr w:type="gramEnd"/>
    </w:p>
    <w:p w14:paraId="1CE3CD4F" w14:textId="77777777" w:rsidR="009208E3" w:rsidRDefault="00000000" w:rsidP="00C23438">
      <w:pPr>
        <w:spacing w:after="150"/>
        <w:jc w:val="both"/>
      </w:pPr>
      <w:r>
        <w:rPr>
          <w:color w:val="000000"/>
        </w:rPr>
        <w:t xml:space="preserve">2) у </w:t>
      </w:r>
      <w:proofErr w:type="spellStart"/>
      <w:r>
        <w:rPr>
          <w:color w:val="000000"/>
        </w:rPr>
        <w:t>колони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Обавештење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опасностиˮ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обавештења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прописаним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принципима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првенства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обавештења</w:t>
      </w:r>
      <w:proofErr w:type="spellEnd"/>
      <w:r>
        <w:rPr>
          <w:color w:val="000000"/>
        </w:rPr>
        <w:t xml:space="preserve"> о </w:t>
      </w:r>
      <w:proofErr w:type="spellStart"/>
      <w:proofErr w:type="gramStart"/>
      <w:r>
        <w:rPr>
          <w:color w:val="000000"/>
        </w:rPr>
        <w:t>опасности</w:t>
      </w:r>
      <w:proofErr w:type="spellEnd"/>
      <w:r>
        <w:rPr>
          <w:color w:val="000000"/>
        </w:rPr>
        <w:t>;</w:t>
      </w:r>
      <w:proofErr w:type="gramEnd"/>
    </w:p>
    <w:p w14:paraId="6A481109" w14:textId="77777777" w:rsidR="009208E3" w:rsidRDefault="00000000" w:rsidP="00C23438">
      <w:pPr>
        <w:spacing w:after="150"/>
        <w:jc w:val="both"/>
      </w:pPr>
      <w:r>
        <w:rPr>
          <w:color w:val="000000"/>
        </w:rPr>
        <w:t xml:space="preserve">3) у </w:t>
      </w:r>
      <w:proofErr w:type="spellStart"/>
      <w:r>
        <w:rPr>
          <w:color w:val="000000"/>
        </w:rPr>
        <w:t>колони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Додатно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обавештење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опасностиˮ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обавештења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принципима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првенства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обавештења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посебним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обележавање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паковање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смеша</w:t>
      </w:r>
      <w:proofErr w:type="spellEnd"/>
      <w:r>
        <w:rPr>
          <w:color w:val="000000"/>
        </w:rPr>
        <w:t>.</w:t>
      </w:r>
    </w:p>
    <w:p w14:paraId="69C26F18" w14:textId="77777777" w:rsidR="009208E3" w:rsidRDefault="00000000">
      <w:pPr>
        <w:spacing w:after="120"/>
        <w:jc w:val="center"/>
      </w:pPr>
      <w:r>
        <w:rPr>
          <w:color w:val="000000"/>
        </w:rPr>
        <w:t xml:space="preserve">1.1.2.3. </w:t>
      </w:r>
      <w:proofErr w:type="spellStart"/>
      <w:r>
        <w:rPr>
          <w:color w:val="000000"/>
        </w:rPr>
        <w:t>Специфичне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концентрације</w:t>
      </w:r>
      <w:proofErr w:type="spellEnd"/>
      <w:r>
        <w:rPr>
          <w:color w:val="000000"/>
        </w:rPr>
        <w:t>, М-</w:t>
      </w:r>
      <w:proofErr w:type="spellStart"/>
      <w:r>
        <w:rPr>
          <w:color w:val="000000"/>
        </w:rPr>
        <w:t>фактори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процењене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акутне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токсичности</w:t>
      </w:r>
      <w:proofErr w:type="spellEnd"/>
      <w:r>
        <w:rPr>
          <w:color w:val="000000"/>
        </w:rPr>
        <w:t xml:space="preserve"> (АТЕ)</w:t>
      </w:r>
    </w:p>
    <w:p w14:paraId="632CC9FA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Специфичне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концентрације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разликују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граничних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концентрација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пропису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наведене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Табели</w:t>
      </w:r>
      <w:proofErr w:type="spellEnd"/>
      <w:r>
        <w:rPr>
          <w:color w:val="000000"/>
        </w:rPr>
        <w:t xml:space="preserve"> 1. у </w:t>
      </w:r>
      <w:proofErr w:type="spellStart"/>
      <w:r>
        <w:rPr>
          <w:color w:val="000000"/>
        </w:rPr>
        <w:t>засебној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заједно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односе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категорију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скраћенице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одељка</w:t>
      </w:r>
      <w:proofErr w:type="spellEnd"/>
      <w:r>
        <w:rPr>
          <w:color w:val="000000"/>
        </w:rPr>
        <w:t xml:space="preserve"> 1.1.2, </w:t>
      </w:r>
      <w:proofErr w:type="spellStart"/>
      <w:r>
        <w:rPr>
          <w:color w:val="000000"/>
        </w:rPr>
        <w:t>тачка</w:t>
      </w:r>
      <w:proofErr w:type="spellEnd"/>
      <w:r>
        <w:rPr>
          <w:color w:val="000000"/>
        </w:rPr>
        <w:t xml:space="preserve"> 1.1.2.1.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увода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истој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колони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хармонизоване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процењене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акутне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токсичности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Произвођач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увозник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даљи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концентрације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хармонизоване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процењене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акутне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токсичности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хармонизована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процењена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акутне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токсичности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формула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адитивности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пропису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концентрације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нечистоће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адитиве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конституенте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концентрације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пропису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акутну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токсичност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хармонизоване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процењене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акутне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токсичности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тачнa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помоћу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>.</w:t>
      </w:r>
    </w:p>
    <w:p w14:paraId="484D68FE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другачије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граничне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концентрације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смеши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изражен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процентима</w:t>
      </w:r>
      <w:proofErr w:type="spellEnd"/>
      <w:r>
        <w:rPr>
          <w:color w:val="000000"/>
        </w:rPr>
        <w:t>.</w:t>
      </w:r>
    </w:p>
    <w:p w14:paraId="5CC1A4B3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хармонизован</w:t>
      </w:r>
      <w:proofErr w:type="spellEnd"/>
      <w:r>
        <w:rPr>
          <w:color w:val="000000"/>
        </w:rPr>
        <w:t xml:space="preserve"> М-</w:t>
      </w:r>
      <w:proofErr w:type="spellStart"/>
      <w:r>
        <w:rPr>
          <w:color w:val="000000"/>
        </w:rPr>
        <w:t>фактор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категорија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акутно</w:t>
      </w:r>
      <w:proofErr w:type="spellEnd"/>
      <w:r>
        <w:rPr>
          <w:color w:val="000000"/>
        </w:rPr>
        <w:t xml:space="preserve"> 1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хронично</w:t>
      </w:r>
      <w:proofErr w:type="spellEnd"/>
      <w:r>
        <w:rPr>
          <w:color w:val="000000"/>
        </w:rPr>
        <w:t xml:space="preserve"> 1,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М-</w:t>
      </w:r>
      <w:proofErr w:type="spellStart"/>
      <w:r>
        <w:rPr>
          <w:color w:val="000000"/>
        </w:rPr>
        <w:t>фактор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истој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колони</w:t>
      </w:r>
      <w:proofErr w:type="spellEnd"/>
      <w:r>
        <w:rPr>
          <w:color w:val="000000"/>
        </w:rPr>
        <w:t xml:space="preserve"> Табеле 1. у </w:t>
      </w:r>
      <w:proofErr w:type="spellStart"/>
      <w:r>
        <w:rPr>
          <w:color w:val="000000"/>
        </w:rPr>
        <w:t>којој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специфичне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концентрације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хармонизовани</w:t>
      </w:r>
      <w:proofErr w:type="spellEnd"/>
      <w:r>
        <w:rPr>
          <w:color w:val="000000"/>
        </w:rPr>
        <w:t xml:space="preserve"> М-</w:t>
      </w:r>
      <w:proofErr w:type="spellStart"/>
      <w:r>
        <w:rPr>
          <w:color w:val="000000"/>
        </w:rPr>
        <w:t>фактор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акутно</w:t>
      </w:r>
      <w:proofErr w:type="spellEnd"/>
      <w:r>
        <w:rPr>
          <w:color w:val="000000"/>
        </w:rPr>
        <w:t xml:space="preserve"> 1 и М-</w:t>
      </w:r>
      <w:proofErr w:type="spellStart"/>
      <w:r>
        <w:rPr>
          <w:color w:val="000000"/>
        </w:rPr>
        <w:t>фактор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хронично</w:t>
      </w:r>
      <w:proofErr w:type="spellEnd"/>
      <w:r>
        <w:rPr>
          <w:color w:val="000000"/>
        </w:rPr>
        <w:t xml:space="preserve"> 1, </w:t>
      </w:r>
      <w:proofErr w:type="spellStart"/>
      <w:r>
        <w:rPr>
          <w:color w:val="000000"/>
        </w:rPr>
        <w:t>сваки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М-</w:t>
      </w:r>
      <w:proofErr w:type="spellStart"/>
      <w:r>
        <w:rPr>
          <w:color w:val="000000"/>
        </w:rPr>
        <w:t>фактора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истом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нивоу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Табели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наведен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М-</w:t>
      </w:r>
      <w:proofErr w:type="spellStart"/>
      <w:r>
        <w:rPr>
          <w:color w:val="000000"/>
        </w:rPr>
        <w:t>фактор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супстанца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категорију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акутно</w:t>
      </w:r>
      <w:proofErr w:type="spellEnd"/>
      <w:r>
        <w:rPr>
          <w:color w:val="000000"/>
        </w:rPr>
        <w:t xml:space="preserve"> 1 и у </w:t>
      </w:r>
      <w:proofErr w:type="spellStart"/>
      <w:r>
        <w:rPr>
          <w:color w:val="000000"/>
        </w:rPr>
        <w:t>категорију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хронично</w:t>
      </w:r>
      <w:proofErr w:type="spellEnd"/>
      <w:r>
        <w:rPr>
          <w:color w:val="000000"/>
        </w:rPr>
        <w:t xml:space="preserve"> 1, </w:t>
      </w:r>
      <w:proofErr w:type="spellStart"/>
      <w:r>
        <w:rPr>
          <w:color w:val="000000"/>
        </w:rPr>
        <w:t>произвођач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увозник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даљи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М-</w:t>
      </w:r>
      <w:proofErr w:type="spellStart"/>
      <w:r>
        <w:rPr>
          <w:color w:val="000000"/>
        </w:rPr>
        <w:t>фактор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супстанцу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краткотрајну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акутну</w:t>
      </w:r>
      <w:proofErr w:type="spellEnd"/>
      <w:r>
        <w:rPr>
          <w:color w:val="000000"/>
        </w:rPr>
        <w:t xml:space="preserve">) и </w:t>
      </w:r>
      <w:proofErr w:type="spellStart"/>
      <w:r>
        <w:rPr>
          <w:color w:val="000000"/>
        </w:rPr>
        <w:t>дуготрајну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хроничну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опасност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животну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средину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примењујући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методу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сумирања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пропису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>.</w:t>
      </w:r>
    </w:p>
    <w:p w14:paraId="0BD84B5C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М-</w:t>
      </w:r>
      <w:proofErr w:type="spellStart"/>
      <w:r>
        <w:rPr>
          <w:color w:val="000000"/>
        </w:rPr>
        <w:t>фактор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Табели</w:t>
      </w:r>
      <w:proofErr w:type="spellEnd"/>
      <w:r>
        <w:rPr>
          <w:color w:val="000000"/>
        </w:rPr>
        <w:t xml:space="preserve"> 1, </w:t>
      </w:r>
      <w:proofErr w:type="spellStart"/>
      <w:r>
        <w:rPr>
          <w:color w:val="000000"/>
        </w:rPr>
        <w:t>произвођач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увозник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даљи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М-</w:t>
      </w:r>
      <w:proofErr w:type="spellStart"/>
      <w:r>
        <w:rPr>
          <w:color w:val="000000"/>
        </w:rPr>
        <w:t>фактор</w:t>
      </w:r>
      <w:proofErr w:type="spellEnd"/>
      <w:r>
        <w:rPr>
          <w:color w:val="000000"/>
        </w:rPr>
        <w:t xml:space="preserve">(е)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>. М-</w:t>
      </w:r>
      <w:proofErr w:type="spellStart"/>
      <w:r>
        <w:rPr>
          <w:color w:val="000000"/>
        </w:rPr>
        <w:t>фактор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>.</w:t>
      </w:r>
    </w:p>
    <w:p w14:paraId="03CFC438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Процењене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акутне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токсичности</w:t>
      </w:r>
      <w:proofErr w:type="spellEnd"/>
      <w:r>
        <w:rPr>
          <w:color w:val="000000"/>
        </w:rPr>
        <w:t xml:space="preserve"> (АТЕ)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перорални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дермални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излагања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изражене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mg/kg </w:t>
      </w:r>
      <w:proofErr w:type="spellStart"/>
      <w:r>
        <w:rPr>
          <w:color w:val="000000"/>
        </w:rPr>
        <w:t>т.м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представља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милиграме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килограму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телесне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масе</w:t>
      </w:r>
      <w:proofErr w:type="spellEnd"/>
      <w:r>
        <w:rPr>
          <w:color w:val="000000"/>
        </w:rPr>
        <w:t>.</w:t>
      </w:r>
    </w:p>
    <w:p w14:paraId="54A749DF" w14:textId="77777777" w:rsidR="009208E3" w:rsidRDefault="00000000">
      <w:pPr>
        <w:spacing w:after="120"/>
        <w:jc w:val="center"/>
      </w:pPr>
      <w:r>
        <w:rPr>
          <w:color w:val="000000"/>
        </w:rPr>
        <w:t xml:space="preserve">1.1.3. </w:t>
      </w:r>
      <w:proofErr w:type="spellStart"/>
      <w:r>
        <w:rPr>
          <w:color w:val="000000"/>
        </w:rPr>
        <w:t>Напомене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</w:p>
    <w:p w14:paraId="30C9CC53" w14:textId="77777777" w:rsidR="009208E3" w:rsidRDefault="00000000">
      <w:pPr>
        <w:spacing w:after="120"/>
        <w:jc w:val="center"/>
      </w:pPr>
      <w:r>
        <w:rPr>
          <w:color w:val="000000"/>
        </w:rPr>
        <w:t xml:space="preserve">1.1.3.1. </w:t>
      </w:r>
      <w:proofErr w:type="spellStart"/>
      <w:r>
        <w:rPr>
          <w:color w:val="000000"/>
        </w:rPr>
        <w:t>Напомене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идентификацијом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класификацијом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обележавањем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</w:p>
    <w:p w14:paraId="48B05D99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напомене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великим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латиничним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словима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њихово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>:</w:t>
      </w:r>
    </w:p>
    <w:p w14:paraId="3103A16E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Напомена</w:t>
      </w:r>
      <w:proofErr w:type="spellEnd"/>
      <w:r>
        <w:rPr>
          <w:color w:val="000000"/>
        </w:rPr>
        <w:t xml:space="preserve"> А: </w:t>
      </w:r>
      <w:proofErr w:type="spellStart"/>
      <w:r>
        <w:rPr>
          <w:color w:val="000000"/>
        </w:rPr>
        <w:t>Неопходно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етикети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хемијских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списку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табелама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понекад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једињења</w:t>
      </w:r>
      <w:proofErr w:type="spellEnd"/>
      <w:r>
        <w:rPr>
          <w:color w:val="000000"/>
        </w:rPr>
        <w:t xml:space="preserve">...ˮ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соли</w:t>
      </w:r>
      <w:proofErr w:type="spellEnd"/>
      <w:r>
        <w:rPr>
          <w:color w:val="000000"/>
        </w:rPr>
        <w:t xml:space="preserve">...ˮ. У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снабдевач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етикети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тачки</w:t>
      </w:r>
      <w:proofErr w:type="spellEnd"/>
      <w:r>
        <w:rPr>
          <w:color w:val="000000"/>
        </w:rPr>
        <w:t xml:space="preserve"> 1.1.1.2. </w:t>
      </w:r>
      <w:proofErr w:type="spellStart"/>
      <w:r>
        <w:rPr>
          <w:color w:val="000000"/>
        </w:rPr>
        <w:t>овог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увода</w:t>
      </w:r>
      <w:proofErr w:type="spellEnd"/>
      <w:r>
        <w:rPr>
          <w:color w:val="000000"/>
        </w:rPr>
        <w:t>.</w:t>
      </w:r>
    </w:p>
    <w:p w14:paraId="7354D38C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Напомена</w:t>
      </w:r>
      <w:proofErr w:type="spellEnd"/>
      <w:r>
        <w:rPr>
          <w:color w:val="000000"/>
        </w:rPr>
        <w:t xml:space="preserve"> B: </w:t>
      </w:r>
      <w:proofErr w:type="spellStart"/>
      <w:r>
        <w:rPr>
          <w:color w:val="000000"/>
        </w:rPr>
        <w:t>Неке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киселине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базе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итд</w:t>
      </w:r>
      <w:proofErr w:type="spellEnd"/>
      <w:r>
        <w:rPr>
          <w:color w:val="000000"/>
        </w:rPr>
        <w:t xml:space="preserve">.) </w:t>
      </w:r>
      <w:proofErr w:type="spellStart"/>
      <w:r>
        <w:rPr>
          <w:color w:val="000000"/>
        </w:rPr>
        <w:t>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раствора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концентрација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раствори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различито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класификују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зависе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концентрације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списку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напоменом</w:t>
      </w:r>
      <w:proofErr w:type="spellEnd"/>
      <w:r>
        <w:rPr>
          <w:color w:val="000000"/>
        </w:rPr>
        <w:t xml:space="preserve"> B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типа</w:t>
      </w:r>
      <w:proofErr w:type="spellEnd"/>
      <w:r>
        <w:rPr>
          <w:color w:val="000000"/>
        </w:rPr>
        <w:t>: „</w:t>
      </w:r>
      <w:proofErr w:type="spellStart"/>
      <w:r>
        <w:rPr>
          <w:color w:val="000000"/>
        </w:rPr>
        <w:t>азотна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киселина</w:t>
      </w:r>
      <w:proofErr w:type="spellEnd"/>
      <w:r>
        <w:rPr>
          <w:color w:val="000000"/>
        </w:rPr>
        <w:t xml:space="preserve"> ...%ˮ. У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етикети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концентрација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раствора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изражена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процентима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другачије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подразумева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концентрација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(</w:t>
      </w:r>
      <w:r>
        <w:rPr>
          <w:i/>
          <w:color w:val="000000"/>
        </w:rPr>
        <w:t>m/m</w:t>
      </w:r>
      <w:r>
        <w:rPr>
          <w:color w:val="000000"/>
        </w:rPr>
        <w:t>).</w:t>
      </w:r>
    </w:p>
    <w:p w14:paraId="184492DB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Напомена</w:t>
      </w:r>
      <w:proofErr w:type="spellEnd"/>
      <w:r>
        <w:rPr>
          <w:color w:val="000000"/>
        </w:rPr>
        <w:t xml:space="preserve"> C: </w:t>
      </w:r>
      <w:proofErr w:type="spellStart"/>
      <w:r>
        <w:rPr>
          <w:color w:val="000000"/>
        </w:rPr>
        <w:t>Неке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стављају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изомера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изомера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етикети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изомера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изомера</w:t>
      </w:r>
      <w:proofErr w:type="spellEnd"/>
      <w:r>
        <w:rPr>
          <w:color w:val="000000"/>
        </w:rPr>
        <w:t>.</w:t>
      </w:r>
    </w:p>
    <w:p w14:paraId="19C28BBD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Напомена</w:t>
      </w:r>
      <w:proofErr w:type="spellEnd"/>
      <w:r>
        <w:rPr>
          <w:color w:val="000000"/>
        </w:rPr>
        <w:t xml:space="preserve"> D: </w:t>
      </w:r>
      <w:proofErr w:type="spellStart"/>
      <w:r>
        <w:rPr>
          <w:color w:val="000000"/>
        </w:rPr>
        <w:t>Одређене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подлежу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спонтаној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полимеризацији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разлагању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углавном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стављају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стабилизованом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наведене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Списку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одређеним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случајевима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овакве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стављају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нестабилизованом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етикети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поред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хемијског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наводи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реч</w:t>
      </w:r>
      <w:proofErr w:type="spellEnd"/>
      <w:r>
        <w:rPr>
          <w:color w:val="000000"/>
        </w:rPr>
        <w:t>: „</w:t>
      </w:r>
      <w:proofErr w:type="spellStart"/>
      <w:r>
        <w:rPr>
          <w:color w:val="000000"/>
        </w:rPr>
        <w:t>нестабилизованоˮ</w:t>
      </w:r>
      <w:proofErr w:type="spellEnd"/>
      <w:r>
        <w:rPr>
          <w:color w:val="000000"/>
        </w:rPr>
        <w:t>.</w:t>
      </w:r>
    </w:p>
    <w:p w14:paraId="5777A3A1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Напомена</w:t>
      </w:r>
      <w:proofErr w:type="spellEnd"/>
      <w:r>
        <w:rPr>
          <w:color w:val="000000"/>
        </w:rPr>
        <w:t xml:space="preserve"> F: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стабилизатор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стабилизатор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Списку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потребно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обележавање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смеша</w:t>
      </w:r>
      <w:proofErr w:type="spellEnd"/>
      <w:r>
        <w:rPr>
          <w:color w:val="000000"/>
        </w:rPr>
        <w:t>.</w:t>
      </w:r>
    </w:p>
    <w:p w14:paraId="23CD4CC1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Напомена</w:t>
      </w:r>
      <w:proofErr w:type="spellEnd"/>
      <w:r>
        <w:rPr>
          <w:color w:val="000000"/>
        </w:rPr>
        <w:t xml:space="preserve"> G: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ставља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експлозива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експлозивност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методама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испитивања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укажу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експлозивна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својства</w:t>
      </w:r>
      <w:proofErr w:type="spellEnd"/>
      <w:r>
        <w:rPr>
          <w:color w:val="000000"/>
        </w:rPr>
        <w:t>.</w:t>
      </w:r>
    </w:p>
    <w:p w14:paraId="160645DB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Напомена</w:t>
      </w:r>
      <w:proofErr w:type="spellEnd"/>
      <w:r>
        <w:rPr>
          <w:color w:val="000000"/>
        </w:rPr>
        <w:t xml:space="preserve"> Ј: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хармонизована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карциногене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мутагене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0,1% m/m </w:t>
      </w:r>
      <w:proofErr w:type="spellStart"/>
      <w:r>
        <w:rPr>
          <w:color w:val="000000"/>
        </w:rPr>
        <w:t>бензена</w:t>
      </w:r>
      <w:proofErr w:type="spellEnd"/>
      <w:r>
        <w:rPr>
          <w:color w:val="000000"/>
        </w:rPr>
        <w:t xml:space="preserve"> (EINECS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200-753-7), и у </w:t>
      </w:r>
      <w:proofErr w:type="spellStart"/>
      <w:r>
        <w:rPr>
          <w:color w:val="000000"/>
        </w:rPr>
        <w:t>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паковање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>.</w:t>
      </w:r>
    </w:p>
    <w:p w14:paraId="09B2AFD0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Напомена</w:t>
      </w:r>
      <w:proofErr w:type="spellEnd"/>
      <w:r>
        <w:rPr>
          <w:color w:val="000000"/>
        </w:rPr>
        <w:t xml:space="preserve"> К: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хармонизована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карциногене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мутагене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0,1% m/m 1,3-бутадиена (EINECS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203-450-8), и у </w:t>
      </w:r>
      <w:proofErr w:type="spellStart"/>
      <w:r>
        <w:rPr>
          <w:color w:val="000000"/>
        </w:rPr>
        <w:t>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паковање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карциногена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lastRenderedPageBreak/>
        <w:t>мутагена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обавештења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мерама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предострожности</w:t>
      </w:r>
      <w:proofErr w:type="spellEnd"/>
      <w:r>
        <w:rPr>
          <w:color w:val="000000"/>
        </w:rPr>
        <w:t xml:space="preserve"> (P102</w:t>
      </w:r>
      <w:proofErr w:type="gramStart"/>
      <w:r>
        <w:rPr>
          <w:color w:val="000000"/>
        </w:rPr>
        <w:t>-)P</w:t>
      </w:r>
      <w:proofErr w:type="gramEnd"/>
      <w:r>
        <w:rPr>
          <w:color w:val="000000"/>
        </w:rPr>
        <w:t>210-P403.</w:t>
      </w:r>
    </w:p>
    <w:p w14:paraId="270F7C75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Напомена</w:t>
      </w:r>
      <w:proofErr w:type="spellEnd"/>
      <w:r>
        <w:rPr>
          <w:color w:val="000000"/>
        </w:rPr>
        <w:t xml:space="preserve"> L: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хармонизована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карциногене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3% </w:t>
      </w:r>
      <w:proofErr w:type="spellStart"/>
      <w:r>
        <w:rPr>
          <w:color w:val="000000"/>
        </w:rPr>
        <w:t>диметилсулфоксидног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екстракта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измерено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методи</w:t>
      </w:r>
      <w:proofErr w:type="spellEnd"/>
      <w:r>
        <w:rPr>
          <w:color w:val="000000"/>
        </w:rPr>
        <w:t xml:space="preserve"> IP 346</w:t>
      </w:r>
      <w:r>
        <w:rPr>
          <w:color w:val="000000"/>
          <w:vertAlign w:val="superscript"/>
        </w:rPr>
        <w:t>(2)</w:t>
      </w:r>
      <w:r>
        <w:rPr>
          <w:color w:val="000000"/>
        </w:rPr>
        <w:t xml:space="preserve">, и у </w:t>
      </w:r>
      <w:proofErr w:type="spellStart"/>
      <w:r>
        <w:rPr>
          <w:color w:val="000000"/>
        </w:rPr>
        <w:t>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паковање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>.</w:t>
      </w:r>
    </w:p>
    <w:p w14:paraId="18264955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Напомена</w:t>
      </w:r>
      <w:proofErr w:type="spellEnd"/>
      <w:r>
        <w:rPr>
          <w:color w:val="000000"/>
        </w:rPr>
        <w:t xml:space="preserve"> М: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хармонизована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карциногене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0,005% m/m </w:t>
      </w:r>
      <w:proofErr w:type="spellStart"/>
      <w:r>
        <w:rPr>
          <w:color w:val="000000"/>
        </w:rPr>
        <w:t>бензо</w:t>
      </w:r>
      <w:proofErr w:type="spellEnd"/>
      <w:r>
        <w:rPr>
          <w:color w:val="000000"/>
        </w:rPr>
        <w:t>[а]-</w:t>
      </w:r>
      <w:proofErr w:type="spellStart"/>
      <w:r>
        <w:rPr>
          <w:color w:val="000000"/>
        </w:rPr>
        <w:t>пирена</w:t>
      </w:r>
      <w:proofErr w:type="spellEnd"/>
      <w:r>
        <w:rPr>
          <w:color w:val="000000"/>
        </w:rPr>
        <w:t xml:space="preserve"> (EINECS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200-028-5), и у </w:t>
      </w:r>
      <w:proofErr w:type="spellStart"/>
      <w:r>
        <w:rPr>
          <w:color w:val="000000"/>
        </w:rPr>
        <w:t>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паковање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>.</w:t>
      </w:r>
    </w:p>
    <w:p w14:paraId="0FD7F788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Напомена</w:t>
      </w:r>
      <w:proofErr w:type="spellEnd"/>
      <w:r>
        <w:rPr>
          <w:color w:val="000000"/>
        </w:rPr>
        <w:t xml:space="preserve"> N: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хармонизована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карциногене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потпуна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историја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рафинације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произведена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карциногена</w:t>
      </w:r>
      <w:proofErr w:type="spellEnd"/>
      <w:r>
        <w:rPr>
          <w:color w:val="000000"/>
        </w:rPr>
        <w:t xml:space="preserve">, и у </w:t>
      </w:r>
      <w:proofErr w:type="spellStart"/>
      <w:r>
        <w:rPr>
          <w:color w:val="000000"/>
        </w:rPr>
        <w:t>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паковање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>.</w:t>
      </w:r>
    </w:p>
    <w:p w14:paraId="6B3FD1FA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Напомена</w:t>
      </w:r>
      <w:proofErr w:type="spellEnd"/>
      <w:r>
        <w:rPr>
          <w:color w:val="000000"/>
        </w:rPr>
        <w:t xml:space="preserve"> P: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хармонизована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карциногене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мутагене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0,1% m/m </w:t>
      </w:r>
      <w:proofErr w:type="spellStart"/>
      <w:r>
        <w:rPr>
          <w:color w:val="000000"/>
        </w:rPr>
        <w:t>бензена</w:t>
      </w:r>
      <w:proofErr w:type="spellEnd"/>
      <w:r>
        <w:rPr>
          <w:color w:val="000000"/>
        </w:rPr>
        <w:t xml:space="preserve"> (EINECS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200-753-7), и у </w:t>
      </w:r>
      <w:proofErr w:type="spellStart"/>
      <w:r>
        <w:rPr>
          <w:color w:val="000000"/>
        </w:rPr>
        <w:t>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паковање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карциногена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мутагена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примењују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барем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обавештења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мерама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предострожности</w:t>
      </w:r>
      <w:proofErr w:type="spellEnd"/>
      <w:r>
        <w:rPr>
          <w:color w:val="000000"/>
        </w:rPr>
        <w:t xml:space="preserve"> </w:t>
      </w:r>
      <w:proofErr w:type="gramStart"/>
      <w:r>
        <w:rPr>
          <w:color w:val="000000"/>
        </w:rPr>
        <w:t>Р(</w:t>
      </w:r>
      <w:proofErr w:type="gramEnd"/>
      <w:r>
        <w:rPr>
          <w:color w:val="000000"/>
        </w:rPr>
        <w:t>102) Р260-262-301 + Р310-331.</w:t>
      </w:r>
    </w:p>
    <w:p w14:paraId="0A675F28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Напомена</w:t>
      </w:r>
      <w:proofErr w:type="spellEnd"/>
      <w:r>
        <w:rPr>
          <w:color w:val="000000"/>
        </w:rPr>
        <w:t xml:space="preserve"> Q: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хармонизована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карциногене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услова</w:t>
      </w:r>
      <w:proofErr w:type="spellEnd"/>
      <w:r>
        <w:rPr>
          <w:color w:val="000000"/>
        </w:rPr>
        <w:t>:</w:t>
      </w:r>
    </w:p>
    <w:p w14:paraId="3ABA3469" w14:textId="77777777" w:rsidR="009208E3" w:rsidRDefault="00000000" w:rsidP="00C23438">
      <w:pPr>
        <w:spacing w:after="150"/>
        <w:jc w:val="both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краткотрајни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биоперзистенције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инхалацијом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влакна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 </w:t>
      </w:r>
      <w:proofErr w:type="spellStart"/>
      <w:r>
        <w:rPr>
          <w:color w:val="000000"/>
        </w:rPr>
        <w:t>μm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увећано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полуживота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или</w:t>
      </w:r>
      <w:proofErr w:type="spellEnd"/>
    </w:p>
    <w:p w14:paraId="14796070" w14:textId="77777777" w:rsidR="009208E3" w:rsidRDefault="00000000" w:rsidP="00C23438">
      <w:pPr>
        <w:spacing w:after="150"/>
        <w:jc w:val="both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краткотрајни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биоперзистенције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интратрахеалном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влакна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20 </w:t>
      </w:r>
      <w:proofErr w:type="spellStart"/>
      <w:r>
        <w:rPr>
          <w:color w:val="000000"/>
        </w:rPr>
        <w:t>μm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увећано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полуживота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40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или</w:t>
      </w:r>
      <w:proofErr w:type="spellEnd"/>
    </w:p>
    <w:p w14:paraId="0F755652" w14:textId="77777777" w:rsidR="009208E3" w:rsidRDefault="00000000" w:rsidP="00C23438">
      <w:pPr>
        <w:spacing w:after="150"/>
        <w:jc w:val="both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одговарајући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интраперитонеални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пораст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карциногености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или</w:t>
      </w:r>
      <w:proofErr w:type="spellEnd"/>
    </w:p>
    <w:p w14:paraId="237D5305" w14:textId="77777777" w:rsidR="009208E3" w:rsidRDefault="00000000" w:rsidP="00C23438">
      <w:pPr>
        <w:spacing w:after="150"/>
        <w:jc w:val="both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релевантнa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патогеност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неопластичне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уочене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одговарајућем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дуготрајном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инхалационом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тесту</w:t>
      </w:r>
      <w:proofErr w:type="spellEnd"/>
      <w:r>
        <w:rPr>
          <w:color w:val="000000"/>
        </w:rPr>
        <w:t>.</w:t>
      </w:r>
    </w:p>
    <w:p w14:paraId="19E6A862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lastRenderedPageBreak/>
        <w:t>Напомена</w:t>
      </w:r>
      <w:proofErr w:type="spellEnd"/>
      <w:r>
        <w:rPr>
          <w:color w:val="000000"/>
        </w:rPr>
        <w:t xml:space="preserve"> R: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хармонизована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карциногене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влакана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геометријски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пречник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пондерисан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дужини</w:t>
      </w:r>
      <w:proofErr w:type="spellEnd"/>
      <w:r>
        <w:rPr>
          <w:color w:val="000000"/>
        </w:rPr>
        <w:t xml:space="preserve"> (LWGMD) </w:t>
      </w:r>
      <w:proofErr w:type="spellStart"/>
      <w:r>
        <w:rPr>
          <w:color w:val="000000"/>
        </w:rPr>
        <w:t>умањен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геометријске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грешке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6 </w:t>
      </w:r>
      <w:proofErr w:type="spellStart"/>
      <w:r>
        <w:rPr>
          <w:color w:val="000000"/>
        </w:rPr>
        <w:t>μm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измерен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методом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испитивања</w:t>
      </w:r>
      <w:proofErr w:type="spellEnd"/>
      <w:r>
        <w:rPr>
          <w:color w:val="000000"/>
        </w:rPr>
        <w:t xml:space="preserve"> A.22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пропису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>.</w:t>
      </w:r>
    </w:p>
    <w:p w14:paraId="40D6689B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Напомена</w:t>
      </w:r>
      <w:proofErr w:type="spellEnd"/>
      <w:r>
        <w:rPr>
          <w:color w:val="000000"/>
        </w:rPr>
        <w:t xml:space="preserve"> S: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применљива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одступања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обележавања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>.</w:t>
      </w:r>
    </w:p>
    <w:p w14:paraId="7C77D434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Напомена</w:t>
      </w:r>
      <w:proofErr w:type="spellEnd"/>
      <w:r>
        <w:rPr>
          <w:color w:val="000000"/>
        </w:rPr>
        <w:t xml:space="preserve"> Т: </w:t>
      </w:r>
      <w:proofErr w:type="spellStart"/>
      <w:r>
        <w:rPr>
          <w:color w:val="000000"/>
        </w:rPr>
        <w:t>Супстанца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хемијска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Списку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резултати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методама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показују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облик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ставља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хемијска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супстанца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класификује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резултатима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испитивања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Одговарајуће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укључујући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референцу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методи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безбедносном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листу</w:t>
      </w:r>
      <w:proofErr w:type="spellEnd"/>
      <w:r>
        <w:rPr>
          <w:color w:val="000000"/>
        </w:rPr>
        <w:t>.</w:t>
      </w:r>
    </w:p>
    <w:p w14:paraId="1C14BD30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Напомена</w:t>
      </w:r>
      <w:proofErr w:type="spellEnd"/>
      <w:r>
        <w:rPr>
          <w:color w:val="000000"/>
        </w:rPr>
        <w:t xml:space="preserve"> U (</w:t>
      </w:r>
      <w:proofErr w:type="spellStart"/>
      <w:r>
        <w:rPr>
          <w:color w:val="000000"/>
        </w:rPr>
        <w:t>Табела</w:t>
      </w:r>
      <w:proofErr w:type="spellEnd"/>
      <w:r>
        <w:rPr>
          <w:color w:val="000000"/>
        </w:rPr>
        <w:t xml:space="preserve"> 1):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стављају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гасови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гасови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притиском</w:t>
      </w:r>
      <w:proofErr w:type="spellEnd"/>
      <w:r>
        <w:rPr>
          <w:color w:val="000000"/>
        </w:rPr>
        <w:t xml:space="preserve">” и </w:t>
      </w:r>
      <w:proofErr w:type="spellStart"/>
      <w:r>
        <w:rPr>
          <w:color w:val="000000"/>
        </w:rPr>
        <w:t>сврстани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једну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компримован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гас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расхлађен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течни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растворен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гас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Група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зависи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упакован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сваком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појединачном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Додељују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ознаке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Гас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прит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комп</w:t>
      </w:r>
      <w:proofErr w:type="spellEnd"/>
      <w:r>
        <w:rPr>
          <w:color w:val="000000"/>
        </w:rPr>
        <w:t xml:space="preserve">.); </w:t>
      </w:r>
      <w:proofErr w:type="spellStart"/>
      <w:r>
        <w:rPr>
          <w:color w:val="000000"/>
        </w:rPr>
        <w:t>Гас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прит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теч</w:t>
      </w:r>
      <w:proofErr w:type="spellEnd"/>
      <w:r>
        <w:rPr>
          <w:color w:val="000000"/>
        </w:rPr>
        <w:t xml:space="preserve">.); </w:t>
      </w:r>
      <w:proofErr w:type="spellStart"/>
      <w:r>
        <w:rPr>
          <w:color w:val="000000"/>
        </w:rPr>
        <w:t>Гас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прит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расх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теч</w:t>
      </w:r>
      <w:proofErr w:type="spellEnd"/>
      <w:r>
        <w:rPr>
          <w:color w:val="000000"/>
        </w:rPr>
        <w:t xml:space="preserve">.); </w:t>
      </w:r>
      <w:proofErr w:type="spellStart"/>
      <w:r>
        <w:rPr>
          <w:color w:val="000000"/>
        </w:rPr>
        <w:t>Гас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прит</w:t>
      </w:r>
      <w:proofErr w:type="spellEnd"/>
      <w:r>
        <w:rPr>
          <w:color w:val="000000"/>
        </w:rPr>
        <w:t>. (</w:t>
      </w:r>
      <w:proofErr w:type="spellStart"/>
      <w:r>
        <w:rPr>
          <w:color w:val="000000"/>
        </w:rPr>
        <w:t>раст</w:t>
      </w:r>
      <w:proofErr w:type="spellEnd"/>
      <w:r>
        <w:rPr>
          <w:color w:val="000000"/>
        </w:rPr>
        <w:t>.).</w:t>
      </w:r>
    </w:p>
    <w:p w14:paraId="62AA9C4C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Аеросоли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гасови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притиском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видети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>).</w:t>
      </w:r>
    </w:p>
    <w:p w14:paraId="463B02D9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Напомена</w:t>
      </w:r>
      <w:proofErr w:type="spellEnd"/>
      <w:r>
        <w:rPr>
          <w:color w:val="000000"/>
        </w:rPr>
        <w:t xml:space="preserve"> V: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ставља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влакана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дијаметра</w:t>
      </w:r>
      <w:proofErr w:type="spellEnd"/>
      <w:r>
        <w:rPr>
          <w:color w:val="000000"/>
        </w:rPr>
        <w:t xml:space="preserve"> &lt; 3 </w:t>
      </w:r>
      <w:proofErr w:type="spellStart"/>
      <w:r>
        <w:rPr>
          <w:color w:val="000000"/>
        </w:rPr>
        <w:t>μm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дужине</w:t>
      </w:r>
      <w:proofErr w:type="spellEnd"/>
      <w:r>
        <w:rPr>
          <w:color w:val="000000"/>
        </w:rPr>
        <w:t xml:space="preserve"> &gt; 5 </w:t>
      </w:r>
      <w:proofErr w:type="spellStart"/>
      <w:r>
        <w:rPr>
          <w:color w:val="000000"/>
        </w:rPr>
        <w:t>μm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односа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дијаметра</w:t>
      </w:r>
      <w:proofErr w:type="spellEnd"/>
      <w:r>
        <w:rPr>
          <w:color w:val="000000"/>
        </w:rPr>
        <w:t xml:space="preserve"> ≥ 3:1),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честица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испуњавају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критеријуме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Светске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здравствене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влакна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честица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модификованом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површинском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хемијом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њихова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морају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проценити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паковање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Карц</w:t>
      </w:r>
      <w:proofErr w:type="spellEnd"/>
      <w:r>
        <w:rPr>
          <w:color w:val="000000"/>
        </w:rPr>
        <w:t xml:space="preserve">. 1Б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1A)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додатни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путеви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излагања</w:t>
      </w:r>
      <w:proofErr w:type="spellEnd"/>
      <w:r>
        <w:rPr>
          <w:color w:val="000000"/>
        </w:rPr>
        <w:t xml:space="preserve"> (</w:t>
      </w:r>
      <w:proofErr w:type="spellStart"/>
      <w:r>
        <w:rPr>
          <w:color w:val="000000"/>
        </w:rPr>
        <w:t>перорални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дермални</w:t>
      </w:r>
      <w:proofErr w:type="spellEnd"/>
      <w:r>
        <w:rPr>
          <w:color w:val="000000"/>
        </w:rPr>
        <w:t>).</w:t>
      </w:r>
    </w:p>
    <w:p w14:paraId="60E9269B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Напомена</w:t>
      </w:r>
      <w:proofErr w:type="spellEnd"/>
      <w:r>
        <w:rPr>
          <w:color w:val="000000"/>
        </w:rPr>
        <w:t xml:space="preserve"> W: </w:t>
      </w:r>
      <w:proofErr w:type="spellStart"/>
      <w:r>
        <w:rPr>
          <w:color w:val="000000"/>
        </w:rPr>
        <w:t>Примећено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карциногена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респирабилна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прашина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удахне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количинама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доводе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нарушавања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механизма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уклањања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честица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плућима</w:t>
      </w:r>
      <w:proofErr w:type="spellEnd"/>
      <w:r>
        <w:rPr>
          <w:color w:val="000000"/>
        </w:rPr>
        <w:t>.</w:t>
      </w:r>
    </w:p>
    <w:p w14:paraId="6B7AF819" w14:textId="77777777" w:rsidR="009208E3" w:rsidRDefault="00000000">
      <w:pPr>
        <w:spacing w:after="150"/>
        <w:jc w:val="both"/>
      </w:pPr>
      <w:r>
        <w:rPr>
          <w:i/>
          <w:color w:val="000000"/>
        </w:rPr>
        <w:t>––––––––––––––</w:t>
      </w:r>
    </w:p>
    <w:p w14:paraId="678CD795" w14:textId="77777777" w:rsidR="009208E3" w:rsidRDefault="00000000">
      <w:pPr>
        <w:spacing w:after="150"/>
        <w:jc w:val="both"/>
        <w:rPr>
          <w:i/>
          <w:color w:val="000000"/>
        </w:rPr>
      </w:pPr>
      <w:r>
        <w:rPr>
          <w:i/>
          <w:color w:val="000000"/>
        </w:rPr>
        <w:t xml:space="preserve">(2) IP 346 „Determination of polycyclic aromatics in unused lubricating base oils and asphaltene free petroleum fractions − Dimethyl </w:t>
      </w:r>
      <w:proofErr w:type="spellStart"/>
      <w:r>
        <w:rPr>
          <w:i/>
          <w:color w:val="000000"/>
        </w:rPr>
        <w:t>sulphoxide</w:t>
      </w:r>
      <w:proofErr w:type="spellEnd"/>
      <w:r>
        <w:rPr>
          <w:i/>
          <w:color w:val="000000"/>
        </w:rPr>
        <w:t xml:space="preserve"> extraction refractive index </w:t>
      </w:r>
      <w:proofErr w:type="spellStart"/>
      <w:r>
        <w:rPr>
          <w:i/>
          <w:color w:val="000000"/>
        </w:rPr>
        <w:t>methodˮ</w:t>
      </w:r>
      <w:proofErr w:type="spellEnd"/>
      <w:r>
        <w:rPr>
          <w:i/>
          <w:color w:val="000000"/>
        </w:rPr>
        <w:t>, Institute of Petroleum, London.</w:t>
      </w:r>
    </w:p>
    <w:p w14:paraId="08C72905" w14:textId="77777777" w:rsidR="00C23438" w:rsidRDefault="00C23438">
      <w:pPr>
        <w:spacing w:after="150"/>
        <w:jc w:val="both"/>
      </w:pPr>
    </w:p>
    <w:p w14:paraId="21375CC0" w14:textId="77777777" w:rsidR="009208E3" w:rsidRDefault="00000000">
      <w:pPr>
        <w:spacing w:after="120"/>
        <w:jc w:val="center"/>
      </w:pPr>
      <w:r>
        <w:rPr>
          <w:color w:val="000000"/>
        </w:rPr>
        <w:lastRenderedPageBreak/>
        <w:t xml:space="preserve">1.1.3.1. </w:t>
      </w:r>
      <w:proofErr w:type="spellStart"/>
      <w:r>
        <w:rPr>
          <w:color w:val="000000"/>
        </w:rPr>
        <w:t>Напомене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вези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класификацијом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обележавањем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смеша</w:t>
      </w:r>
      <w:proofErr w:type="spellEnd"/>
    </w:p>
    <w:p w14:paraId="63EE019F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напомене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арапским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бројевима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њихово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следеће</w:t>
      </w:r>
      <w:proofErr w:type="spellEnd"/>
      <w:r>
        <w:rPr>
          <w:color w:val="000000"/>
        </w:rPr>
        <w:t>:</w:t>
      </w:r>
    </w:p>
    <w:p w14:paraId="3CC122BA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Напомена</w:t>
      </w:r>
      <w:proofErr w:type="spellEnd"/>
      <w:r>
        <w:rPr>
          <w:color w:val="000000"/>
        </w:rPr>
        <w:t xml:space="preserve"> 1: </w:t>
      </w:r>
      <w:proofErr w:type="spellStart"/>
      <w:r>
        <w:rPr>
          <w:color w:val="000000"/>
        </w:rPr>
        <w:t>Наведена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концентрација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одсуству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концентрације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општа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концентрација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металног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елемента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израчунат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укупну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изражен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процентима</w:t>
      </w:r>
      <w:proofErr w:type="spellEnd"/>
      <w:r>
        <w:rPr>
          <w:color w:val="000000"/>
        </w:rPr>
        <w:t>.</w:t>
      </w:r>
    </w:p>
    <w:p w14:paraId="585E1DF9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Напомена</w:t>
      </w:r>
      <w:proofErr w:type="spellEnd"/>
      <w:r>
        <w:rPr>
          <w:color w:val="000000"/>
        </w:rPr>
        <w:t xml:space="preserve"> 2: </w:t>
      </w:r>
      <w:proofErr w:type="spellStart"/>
      <w:r>
        <w:rPr>
          <w:color w:val="000000"/>
        </w:rPr>
        <w:t>Наведена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концентрација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изоцијаната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слободног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мономера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смеши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израчунат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укупну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изражен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процентима</w:t>
      </w:r>
      <w:proofErr w:type="spellEnd"/>
      <w:r>
        <w:rPr>
          <w:color w:val="000000"/>
        </w:rPr>
        <w:t>.</w:t>
      </w:r>
    </w:p>
    <w:p w14:paraId="2DB0C295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Напомена</w:t>
      </w:r>
      <w:proofErr w:type="spellEnd"/>
      <w:r>
        <w:rPr>
          <w:color w:val="000000"/>
        </w:rPr>
        <w:t xml:space="preserve"> 3: </w:t>
      </w:r>
      <w:proofErr w:type="spellStart"/>
      <w:r>
        <w:rPr>
          <w:color w:val="000000"/>
        </w:rPr>
        <w:t>Наведена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концентрација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хроматних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јона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растворених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израчунат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укупну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изражен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процентима</w:t>
      </w:r>
      <w:proofErr w:type="spellEnd"/>
      <w:r>
        <w:rPr>
          <w:color w:val="000000"/>
        </w:rPr>
        <w:t>.</w:t>
      </w:r>
    </w:p>
    <w:p w14:paraId="7125A1E5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Напомена</w:t>
      </w:r>
      <w:proofErr w:type="spellEnd"/>
      <w:r>
        <w:rPr>
          <w:color w:val="000000"/>
        </w:rPr>
        <w:t xml:space="preserve"> 5: </w:t>
      </w:r>
      <w:proofErr w:type="spellStart"/>
      <w:r>
        <w:rPr>
          <w:color w:val="000000"/>
        </w:rPr>
        <w:t>Граничне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концентрације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гасовите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запремински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удео</w:t>
      </w:r>
      <w:proofErr w:type="spellEnd"/>
      <w:r>
        <w:rPr>
          <w:color w:val="000000"/>
        </w:rPr>
        <w:t xml:space="preserve"> (V/V) </w:t>
      </w:r>
      <w:proofErr w:type="spellStart"/>
      <w:r>
        <w:rPr>
          <w:color w:val="000000"/>
        </w:rPr>
        <w:t>изражен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процентима</w:t>
      </w:r>
      <w:proofErr w:type="spellEnd"/>
      <w:r>
        <w:rPr>
          <w:color w:val="000000"/>
        </w:rPr>
        <w:t>.</w:t>
      </w:r>
    </w:p>
    <w:p w14:paraId="4BC0D13E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Напомена</w:t>
      </w:r>
      <w:proofErr w:type="spellEnd"/>
      <w:r>
        <w:rPr>
          <w:color w:val="000000"/>
        </w:rPr>
        <w:t xml:space="preserve"> 7: </w:t>
      </w:r>
      <w:proofErr w:type="spellStart"/>
      <w:r>
        <w:rPr>
          <w:color w:val="000000"/>
        </w:rPr>
        <w:t>Легуре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никл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сензибилизацију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уколико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брзина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ослобађања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никла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већа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0,5 µg Ni/cm</w:t>
      </w:r>
      <w:r>
        <w:rPr>
          <w:color w:val="000000"/>
          <w:vertAlign w:val="superscript"/>
        </w:rPr>
        <w:t>2</w:t>
      </w:r>
      <w:r>
        <w:rPr>
          <w:color w:val="000000"/>
        </w:rPr>
        <w:t>/</w:t>
      </w:r>
      <w:proofErr w:type="spellStart"/>
      <w:r>
        <w:rPr>
          <w:color w:val="000000"/>
        </w:rPr>
        <w:t>недељно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мерено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стандарду</w:t>
      </w:r>
      <w:proofErr w:type="spellEnd"/>
      <w:r>
        <w:rPr>
          <w:color w:val="000000"/>
        </w:rPr>
        <w:t xml:space="preserve"> SRPS EN 1811.</w:t>
      </w:r>
    </w:p>
    <w:p w14:paraId="3F280586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Напомена</w:t>
      </w:r>
      <w:proofErr w:type="spellEnd"/>
      <w:r>
        <w:rPr>
          <w:color w:val="000000"/>
        </w:rPr>
        <w:t xml:space="preserve"> 8: </w:t>
      </w:r>
      <w:proofErr w:type="spellStart"/>
      <w:r>
        <w:rPr>
          <w:color w:val="000000"/>
        </w:rPr>
        <w:t>Класификује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карциноген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максимална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теоријска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концентрација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формалдехида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ослободити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обзира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смеши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каква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ставља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0,1%.</w:t>
      </w:r>
    </w:p>
    <w:p w14:paraId="7D68C2E3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Напомена</w:t>
      </w:r>
      <w:proofErr w:type="spellEnd"/>
      <w:r>
        <w:rPr>
          <w:color w:val="000000"/>
        </w:rPr>
        <w:t xml:space="preserve"> 9: </w:t>
      </w:r>
      <w:proofErr w:type="spellStart"/>
      <w:r>
        <w:rPr>
          <w:color w:val="000000"/>
        </w:rPr>
        <w:t>Класификује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мутаген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максимална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теоријска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концентрација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формалдехида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ослободити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без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обзира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извор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смеши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каква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ставља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промет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1%.</w:t>
      </w:r>
    </w:p>
    <w:p w14:paraId="37097D2B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Напомена</w:t>
      </w:r>
      <w:proofErr w:type="spellEnd"/>
      <w:r>
        <w:rPr>
          <w:color w:val="000000"/>
        </w:rPr>
        <w:t xml:space="preserve"> 10: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карциногене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удише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смеше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праха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садрже</w:t>
      </w:r>
      <w:proofErr w:type="spellEnd"/>
      <w:r>
        <w:rPr>
          <w:color w:val="000000"/>
        </w:rPr>
        <w:t xml:space="preserve"> 1%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више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титанијум-диоксида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облику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честица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аеродинамички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дијаметар</w:t>
      </w:r>
      <w:proofErr w:type="spellEnd"/>
      <w:r>
        <w:rPr>
          <w:color w:val="000000"/>
        </w:rPr>
        <w:t xml:space="preserve"> ≤ 10 </w:t>
      </w:r>
      <w:proofErr w:type="spellStart"/>
      <w:r>
        <w:rPr>
          <w:color w:val="000000"/>
        </w:rPr>
        <w:t>μm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инкорпориран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такве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честице</w:t>
      </w:r>
      <w:proofErr w:type="spellEnd"/>
      <w:r>
        <w:rPr>
          <w:color w:val="000000"/>
        </w:rPr>
        <w:t>.</w:t>
      </w:r>
    </w:p>
    <w:p w14:paraId="0213BA75" w14:textId="77777777" w:rsidR="009208E3" w:rsidRDefault="00000000">
      <w:pPr>
        <w:spacing w:after="120"/>
        <w:jc w:val="center"/>
      </w:pPr>
      <w:r>
        <w:rPr>
          <w:i/>
          <w:color w:val="000000"/>
        </w:rPr>
        <w:t xml:space="preserve">1.2. </w:t>
      </w:r>
      <w:proofErr w:type="spellStart"/>
      <w:r>
        <w:rPr>
          <w:i/>
          <w:color w:val="000000"/>
        </w:rPr>
        <w:t>Класификације</w:t>
      </w:r>
      <w:proofErr w:type="spellEnd"/>
      <w:r>
        <w:rPr>
          <w:i/>
          <w:color w:val="000000"/>
        </w:rPr>
        <w:t xml:space="preserve"> и </w:t>
      </w:r>
      <w:proofErr w:type="spellStart"/>
      <w:r>
        <w:rPr>
          <w:i/>
          <w:color w:val="000000"/>
        </w:rPr>
        <w:t>обавештења</w:t>
      </w:r>
      <w:proofErr w:type="spellEnd"/>
      <w:r>
        <w:rPr>
          <w:i/>
          <w:color w:val="000000"/>
        </w:rPr>
        <w:t xml:space="preserve"> о </w:t>
      </w:r>
      <w:proofErr w:type="spellStart"/>
      <w:r>
        <w:rPr>
          <w:i/>
          <w:color w:val="000000"/>
        </w:rPr>
        <w:t>опасности</w:t>
      </w:r>
      <w:proofErr w:type="spellEnd"/>
      <w:r>
        <w:rPr>
          <w:i/>
          <w:color w:val="000000"/>
        </w:rPr>
        <w:t xml:space="preserve"> у </w:t>
      </w:r>
      <w:proofErr w:type="spellStart"/>
      <w:r>
        <w:rPr>
          <w:i/>
          <w:color w:val="000000"/>
        </w:rPr>
        <w:t>Табели</w:t>
      </w:r>
      <w:proofErr w:type="spellEnd"/>
      <w:r>
        <w:rPr>
          <w:i/>
          <w:color w:val="000000"/>
        </w:rPr>
        <w:t xml:space="preserve"> 1. </w:t>
      </w:r>
      <w:proofErr w:type="spellStart"/>
      <w:r>
        <w:rPr>
          <w:i/>
          <w:color w:val="000000"/>
        </w:rPr>
        <w:t>која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су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добијена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превођењем</w:t>
      </w:r>
      <w:proofErr w:type="spellEnd"/>
      <w:r>
        <w:rPr>
          <w:i/>
          <w:color w:val="000000"/>
        </w:rPr>
        <w:t xml:space="preserve"> </w:t>
      </w:r>
      <w:proofErr w:type="spellStart"/>
      <w:r>
        <w:rPr>
          <w:i/>
          <w:color w:val="000000"/>
        </w:rPr>
        <w:t>класификације</w:t>
      </w:r>
      <w:proofErr w:type="spellEnd"/>
    </w:p>
    <w:p w14:paraId="49E4DA31" w14:textId="77777777" w:rsidR="009208E3" w:rsidRDefault="00000000">
      <w:pPr>
        <w:spacing w:after="120"/>
        <w:jc w:val="center"/>
      </w:pPr>
      <w:r>
        <w:rPr>
          <w:color w:val="000000"/>
        </w:rPr>
        <w:t xml:space="preserve">1.2.1. </w:t>
      </w:r>
      <w:proofErr w:type="spellStart"/>
      <w:r>
        <w:rPr>
          <w:color w:val="000000"/>
        </w:rPr>
        <w:t>Минимум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класификације</w:t>
      </w:r>
      <w:proofErr w:type="spellEnd"/>
    </w:p>
    <w:p w14:paraId="6B9372C6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укључујући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акутну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токсичност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специфичну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токсичност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вишекратна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изложеност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Списку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минимумом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класификације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>:</w:t>
      </w:r>
    </w:p>
    <w:p w14:paraId="12A71922" w14:textId="77777777" w:rsidR="009208E3" w:rsidRDefault="00000000" w:rsidP="00C23438">
      <w:pPr>
        <w:spacing w:after="150"/>
        <w:jc w:val="both"/>
      </w:pPr>
      <w:r>
        <w:rPr>
          <w:color w:val="000000"/>
        </w:rPr>
        <w:t xml:space="preserve">–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произвођачу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увознику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пропису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треба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тежу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минимумом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тежу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категорију</w:t>
      </w:r>
      <w:proofErr w:type="spellEnd"/>
      <w:r>
        <w:rPr>
          <w:color w:val="000000"/>
        </w:rPr>
        <w:t xml:space="preserve"> и</w:t>
      </w:r>
    </w:p>
    <w:p w14:paraId="2F7BE2ED" w14:textId="77777777" w:rsidR="009208E3" w:rsidRDefault="00000000" w:rsidP="00C23438">
      <w:pPr>
        <w:spacing w:after="150"/>
        <w:jc w:val="both"/>
      </w:pPr>
      <w:r>
        <w:rPr>
          <w:color w:val="000000"/>
        </w:rPr>
        <w:lastRenderedPageBreak/>
        <w:t xml:space="preserve">–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минимум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ближе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табеле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испитивањима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акутне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инхалационе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токсичности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познато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произвођачу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увознику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добијена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коришћењем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табеле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превођење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пропису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обавезно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разликује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минимума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датог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Списку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>.</w:t>
      </w:r>
    </w:p>
    <w:p w14:paraId="3EBD7311" w14:textId="77777777" w:rsidR="009208E3" w:rsidRDefault="00000000">
      <w:pPr>
        <w:spacing w:after="150"/>
      </w:pPr>
      <w:proofErr w:type="spellStart"/>
      <w:r>
        <w:rPr>
          <w:color w:val="000000"/>
        </w:rPr>
        <w:t>Минимум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ознаком</w:t>
      </w:r>
      <w:proofErr w:type="spellEnd"/>
      <w:r>
        <w:rPr>
          <w:color w:val="000000"/>
        </w:rPr>
        <w:t xml:space="preserve"> „*ˮ у </w:t>
      </w:r>
      <w:proofErr w:type="spellStart"/>
      <w:r>
        <w:rPr>
          <w:color w:val="000000"/>
        </w:rPr>
        <w:t>Табели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колона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Класификацијаˮ</w:t>
      </w:r>
      <w:proofErr w:type="spellEnd"/>
      <w:r>
        <w:rPr>
          <w:color w:val="000000"/>
        </w:rPr>
        <w:t>.</w:t>
      </w:r>
    </w:p>
    <w:p w14:paraId="04F42C45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Ознака</w:t>
      </w:r>
      <w:proofErr w:type="spellEnd"/>
      <w:r>
        <w:rPr>
          <w:color w:val="000000"/>
        </w:rPr>
        <w:t xml:space="preserve"> „*ˮ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наћи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Табели</w:t>
      </w:r>
      <w:proofErr w:type="spellEnd"/>
      <w:r>
        <w:rPr>
          <w:color w:val="000000"/>
        </w:rPr>
        <w:t xml:space="preserve"> 1. и у </w:t>
      </w:r>
      <w:proofErr w:type="spellStart"/>
      <w:r>
        <w:rPr>
          <w:color w:val="000000"/>
        </w:rPr>
        <w:t>колони</w:t>
      </w:r>
      <w:proofErr w:type="spellEnd"/>
      <w:r>
        <w:rPr>
          <w:color w:val="000000"/>
        </w:rPr>
        <w:t xml:space="preserve"> „</w:t>
      </w:r>
      <w:proofErr w:type="spellStart"/>
      <w:r>
        <w:rPr>
          <w:color w:val="000000"/>
        </w:rPr>
        <w:t>Специфичне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концентрације</w:t>
      </w:r>
      <w:proofErr w:type="spellEnd"/>
      <w:r>
        <w:rPr>
          <w:color w:val="000000"/>
        </w:rPr>
        <w:t>, М-</w:t>
      </w:r>
      <w:proofErr w:type="spellStart"/>
      <w:r>
        <w:rPr>
          <w:color w:val="000000"/>
        </w:rPr>
        <w:t>фактори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процењене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акутне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токсичности</w:t>
      </w:r>
      <w:proofErr w:type="spellEnd"/>
      <w:r>
        <w:rPr>
          <w:color w:val="000000"/>
        </w:rPr>
        <w:t xml:space="preserve"> (АТЕ)ˮ </w:t>
      </w:r>
      <w:proofErr w:type="spellStart"/>
      <w:r>
        <w:rPr>
          <w:color w:val="000000"/>
        </w:rPr>
        <w:t>чиме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указује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концентрације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акутну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токсичност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критеријумима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критеријуми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граничне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концентрације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користити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нарочито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минимум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класификације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акутну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токсичност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значаја</w:t>
      </w:r>
      <w:proofErr w:type="spellEnd"/>
      <w:r>
        <w:rPr>
          <w:color w:val="000000"/>
        </w:rPr>
        <w:t>.</w:t>
      </w:r>
    </w:p>
    <w:p w14:paraId="2653056C" w14:textId="77777777" w:rsidR="009208E3" w:rsidRDefault="00000000">
      <w:pPr>
        <w:spacing w:after="120"/>
        <w:jc w:val="center"/>
      </w:pPr>
      <w:r>
        <w:rPr>
          <w:color w:val="000000"/>
        </w:rPr>
        <w:t xml:space="preserve">1.2.2. </w:t>
      </w:r>
      <w:proofErr w:type="spellStart"/>
      <w:r>
        <w:rPr>
          <w:color w:val="000000"/>
        </w:rPr>
        <w:t>Пут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излагања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искључен</w:t>
      </w:r>
      <w:proofErr w:type="spellEnd"/>
    </w:p>
    <w:p w14:paraId="5A03B61B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нпр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токсичност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циљни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пут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излагања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обавештењу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апсолутно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доказано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излагања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изазвати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опасност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критеријумима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одговарајућу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категорију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добијена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превођењем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прецизиран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излагања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Табели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обавештењем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прецизира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пут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излагања</w:t>
      </w:r>
      <w:proofErr w:type="spellEnd"/>
      <w:r>
        <w:rPr>
          <w:color w:val="000000"/>
        </w:rPr>
        <w:t xml:space="preserve">, с </w:t>
      </w:r>
      <w:proofErr w:type="spellStart"/>
      <w:r>
        <w:rPr>
          <w:color w:val="000000"/>
        </w:rPr>
        <w:t>обзиром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неопходне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доступне</w:t>
      </w:r>
      <w:proofErr w:type="spellEnd"/>
      <w:r>
        <w:rPr>
          <w:color w:val="000000"/>
        </w:rPr>
        <w:t>.</w:t>
      </w:r>
    </w:p>
    <w:p w14:paraId="5B6E1AA6" w14:textId="77777777" w:rsidR="009208E3" w:rsidRDefault="00000000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обавештења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ознаком</w:t>
      </w:r>
      <w:proofErr w:type="spellEnd"/>
      <w:r>
        <w:rPr>
          <w:color w:val="000000"/>
        </w:rPr>
        <w:t xml:space="preserve"> „**ˮ у </w:t>
      </w:r>
      <w:proofErr w:type="spellStart"/>
      <w:r>
        <w:rPr>
          <w:color w:val="000000"/>
        </w:rPr>
        <w:t>Табели</w:t>
      </w:r>
      <w:proofErr w:type="spellEnd"/>
      <w:r>
        <w:rPr>
          <w:color w:val="000000"/>
        </w:rPr>
        <w:t xml:space="preserve"> 1.</w:t>
      </w:r>
    </w:p>
    <w:p w14:paraId="2A014146" w14:textId="77777777" w:rsidR="009208E3" w:rsidRDefault="00000000">
      <w:pPr>
        <w:spacing w:after="120"/>
        <w:jc w:val="center"/>
      </w:pPr>
      <w:r>
        <w:rPr>
          <w:color w:val="000000"/>
        </w:rPr>
        <w:t xml:space="preserve">1.2.3. </w:t>
      </w:r>
      <w:proofErr w:type="spellStart"/>
      <w:r>
        <w:rPr>
          <w:color w:val="000000"/>
        </w:rPr>
        <w:t>Обавештења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токсичност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репродукцију</w:t>
      </w:r>
      <w:proofErr w:type="spellEnd"/>
    </w:p>
    <w:p w14:paraId="0D31F4A6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Обавештења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 H360 и H361 </w:t>
      </w:r>
      <w:proofErr w:type="spellStart"/>
      <w:r>
        <w:rPr>
          <w:color w:val="000000"/>
        </w:rPr>
        <w:t>указују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забринутост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због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ефеката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плодност</w:t>
      </w:r>
      <w:proofErr w:type="spellEnd"/>
      <w:r>
        <w:rPr>
          <w:color w:val="000000"/>
        </w:rPr>
        <w:t xml:space="preserve"> и/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раст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плода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Према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критеријумима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опште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обавештење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заменити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обавештењем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којем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специфичан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ефекат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изазива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забринутост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разлику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разлог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докази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ефекта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недовољни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том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разлику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>.</w:t>
      </w:r>
    </w:p>
    <w:p w14:paraId="50832C17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lastRenderedPageBreak/>
        <w:t>Како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изгубиле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информације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ранијим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класификацијама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плодност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ефекте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развој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плода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преведене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само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ефекте</w:t>
      </w:r>
      <w:proofErr w:type="spellEnd"/>
      <w:r>
        <w:rPr>
          <w:color w:val="000000"/>
        </w:rPr>
        <w:t>.</w:t>
      </w:r>
    </w:p>
    <w:p w14:paraId="533F5981" w14:textId="77777777" w:rsidR="009208E3" w:rsidRDefault="00000000">
      <w:pPr>
        <w:spacing w:after="150"/>
      </w:pPr>
      <w:proofErr w:type="spellStart"/>
      <w:r>
        <w:rPr>
          <w:color w:val="000000"/>
        </w:rPr>
        <w:t>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обавештења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ознаком</w:t>
      </w:r>
      <w:proofErr w:type="spellEnd"/>
      <w:r>
        <w:rPr>
          <w:color w:val="000000"/>
        </w:rPr>
        <w:t xml:space="preserve"> „***ˮ у </w:t>
      </w:r>
      <w:proofErr w:type="spellStart"/>
      <w:r>
        <w:rPr>
          <w:color w:val="000000"/>
        </w:rPr>
        <w:t>Табели</w:t>
      </w:r>
      <w:proofErr w:type="spellEnd"/>
      <w:r>
        <w:rPr>
          <w:color w:val="000000"/>
        </w:rPr>
        <w:t xml:space="preserve"> 1.</w:t>
      </w:r>
    </w:p>
    <w:p w14:paraId="405979F6" w14:textId="77777777" w:rsidR="009208E3" w:rsidRDefault="00000000">
      <w:pPr>
        <w:spacing w:after="120"/>
        <w:jc w:val="center"/>
      </w:pPr>
      <w:r>
        <w:rPr>
          <w:color w:val="000000"/>
        </w:rPr>
        <w:t xml:space="preserve">1.2.4. </w:t>
      </w:r>
      <w:proofErr w:type="spellStart"/>
      <w:r>
        <w:rPr>
          <w:color w:val="000000"/>
        </w:rPr>
        <w:t>Тачна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установити</w:t>
      </w:r>
      <w:proofErr w:type="spellEnd"/>
    </w:p>
    <w:p w14:paraId="43A8B2E0" w14:textId="77777777" w:rsidR="009208E3" w:rsidRDefault="00000000" w:rsidP="00C23438">
      <w:pPr>
        <w:spacing w:after="150"/>
        <w:jc w:val="both"/>
      </w:pP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Списку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класификованих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супстанци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извести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било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довољно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критеријума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обележавање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хемикалија</w:t>
      </w:r>
      <w:proofErr w:type="spellEnd"/>
      <w:r>
        <w:rPr>
          <w:color w:val="000000"/>
        </w:rPr>
        <w:t xml:space="preserve">. У </w:t>
      </w:r>
      <w:proofErr w:type="spellStart"/>
      <w:r>
        <w:rPr>
          <w:color w:val="000000"/>
        </w:rPr>
        <w:t>таквим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случајевима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супстанца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сврстати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различиту</w:t>
      </w:r>
      <w:proofErr w:type="spellEnd"/>
      <w:r>
        <w:rPr>
          <w:color w:val="000000"/>
        </w:rPr>
        <w:t xml:space="preserve"> (и </w:t>
      </w:r>
      <w:proofErr w:type="spellStart"/>
      <w:r>
        <w:rPr>
          <w:color w:val="000000"/>
        </w:rPr>
        <w:t>тежу</w:t>
      </w:r>
      <w:proofErr w:type="spellEnd"/>
      <w:r>
        <w:rPr>
          <w:color w:val="000000"/>
        </w:rPr>
        <w:t xml:space="preserve">) </w:t>
      </w:r>
      <w:proofErr w:type="spellStart"/>
      <w:r>
        <w:rPr>
          <w:color w:val="000000"/>
        </w:rPr>
        <w:t>категорију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опасности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Табели</w:t>
      </w:r>
      <w:proofErr w:type="spellEnd"/>
      <w:r>
        <w:rPr>
          <w:color w:val="000000"/>
        </w:rPr>
        <w:t xml:space="preserve"> 1. </w:t>
      </w:r>
      <w:proofErr w:type="spellStart"/>
      <w:r>
        <w:rPr>
          <w:color w:val="000000"/>
        </w:rPr>
        <w:t>Неопходно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буде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испитивањем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одговарајуће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методе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испитивања</w:t>
      </w:r>
      <w:proofErr w:type="spellEnd"/>
      <w:r>
        <w:rPr>
          <w:color w:val="000000"/>
        </w:rPr>
        <w:t>.</w:t>
      </w:r>
    </w:p>
    <w:p w14:paraId="39E3136B" w14:textId="77777777" w:rsidR="009208E3" w:rsidRDefault="00000000">
      <w:pPr>
        <w:spacing w:after="150"/>
      </w:pPr>
      <w:proofErr w:type="spellStart"/>
      <w:r>
        <w:rPr>
          <w:color w:val="000000"/>
        </w:rPr>
        <w:t>Класификација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односу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физичку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опасност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потврдити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испитивањем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наведена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ознаком</w:t>
      </w:r>
      <w:proofErr w:type="spellEnd"/>
      <w:r>
        <w:rPr>
          <w:color w:val="000000"/>
        </w:rPr>
        <w:t xml:space="preserve"> „****ˮ у </w:t>
      </w:r>
      <w:proofErr w:type="spellStart"/>
      <w:r>
        <w:rPr>
          <w:color w:val="000000"/>
        </w:rPr>
        <w:t>Табели</w:t>
      </w:r>
      <w:proofErr w:type="spellEnd"/>
      <w:r>
        <w:rPr>
          <w:color w:val="000000"/>
        </w:rPr>
        <w:t xml:space="preserve"> 1.</w:t>
      </w:r>
    </w:p>
    <w:p w14:paraId="0038E2B0" w14:textId="77777777" w:rsidR="009208E3" w:rsidRDefault="009208E3">
      <w:pPr>
        <w:spacing w:after="150"/>
      </w:pPr>
    </w:p>
    <w:p w14:paraId="215D18CF" w14:textId="77777777" w:rsidR="009208E3" w:rsidRDefault="00000000">
      <w:pPr>
        <w:spacing w:after="150"/>
      </w:pPr>
      <w:r>
        <w:rPr>
          <w:color w:val="000000"/>
        </w:rPr>
        <w:t>.</w:t>
      </w:r>
    </w:p>
    <w:sectPr w:rsidR="009208E3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8E3"/>
    <w:rsid w:val="009208E3"/>
    <w:rsid w:val="00C23438"/>
    <w:rsid w:val="00ED0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05AE15"/>
  <w15:docId w15:val="{1B0D14B7-875F-408E-9A7B-2C224B9BA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ravno-informacioni-sistem.r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4170</Words>
  <Characters>23775</Characters>
  <Application>Microsoft Office Word</Application>
  <DocSecurity>0</DocSecurity>
  <Lines>198</Lines>
  <Paragraphs>55</Paragraphs>
  <ScaleCrop>false</ScaleCrop>
  <Company/>
  <LinksUpToDate>false</LinksUpToDate>
  <CharactersWithSpaces>27890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Snežana Joksimović</dc:creator>
  <cp:lastModifiedBy>Snežana Joksimović</cp:lastModifiedBy>
  <cp:revision>3</cp:revision>
  <dcterms:created xsi:type="dcterms:W3CDTF">2023-12-01T08:55:00Z</dcterms:created>
  <dcterms:modified xsi:type="dcterms:W3CDTF">2023-12-01T08:59:00Z</dcterms:modified>
</cp:coreProperties>
</file>